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E5776" w14:textId="45A0980F" w:rsidR="00D431D4" w:rsidRDefault="00D431D4" w:rsidP="00447FF1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CF65ABB" wp14:editId="416668C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800954" cy="743995"/>
            <wp:effectExtent l="0" t="0" r="0" b="0"/>
            <wp:wrapNone/>
            <wp:docPr id="2" name="Image 2" descr="Une image contenant texte, Police, capture d’écran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olice, capture d’écran, logo&#10;&#10;Description générée automatiquement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49" b="54850"/>
                    <a:stretch/>
                  </pic:blipFill>
                  <pic:spPr bwMode="auto">
                    <a:xfrm>
                      <a:off x="0" y="0"/>
                      <a:ext cx="5800954" cy="743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A0273" w14:textId="77777777" w:rsidR="00D431D4" w:rsidRDefault="00D431D4" w:rsidP="00447FF1">
      <w:pPr>
        <w:jc w:val="center"/>
        <w:rPr>
          <w:rFonts w:ascii="Times New Roman" w:hAnsi="Times New Roman" w:cs="Times New Roman"/>
          <w:b/>
          <w:bCs/>
        </w:rPr>
      </w:pPr>
    </w:p>
    <w:p w14:paraId="69538EF7" w14:textId="77777777" w:rsidR="00D431D4" w:rsidRDefault="00D431D4" w:rsidP="00447FF1">
      <w:pPr>
        <w:jc w:val="center"/>
        <w:rPr>
          <w:rFonts w:ascii="Times New Roman" w:hAnsi="Times New Roman" w:cs="Times New Roman"/>
          <w:b/>
          <w:bCs/>
        </w:rPr>
      </w:pPr>
    </w:p>
    <w:p w14:paraId="1221BC8C" w14:textId="2363FFB2" w:rsidR="000D5915" w:rsidRDefault="000D5915" w:rsidP="000D5915">
      <w:pPr>
        <w:pBdr>
          <w:top w:val="single" w:sz="4" w:space="0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after="0" w:line="240" w:lineRule="auto"/>
        <w:jc w:val="center"/>
        <w:rPr>
          <w:rFonts w:ascii="Avenir Next LT Pro Light" w:hAnsi="Avenir Next LT Pro Light"/>
          <w:b/>
          <w:smallCaps/>
          <w:color w:val="002060"/>
          <w:sz w:val="28"/>
          <w:szCs w:val="28"/>
        </w:rPr>
      </w:pPr>
      <w:r w:rsidRPr="00017ACD">
        <w:rPr>
          <w:rFonts w:ascii="Avenir Next LT Pro Light" w:hAnsi="Avenir Next LT Pro Light"/>
          <w:b/>
          <w:smallCaps/>
          <w:color w:val="002060"/>
          <w:sz w:val="28"/>
          <w:szCs w:val="28"/>
        </w:rPr>
        <w:t>Note</w:t>
      </w:r>
      <w:r>
        <w:rPr>
          <w:rFonts w:ascii="Avenir Next LT Pro Light" w:hAnsi="Avenir Next LT Pro Light"/>
          <w:b/>
          <w:smallCaps/>
          <w:color w:val="002060"/>
          <w:sz w:val="28"/>
          <w:szCs w:val="28"/>
        </w:rPr>
        <w:t xml:space="preserve"> </w:t>
      </w:r>
      <w:r w:rsidR="00EE7282">
        <w:rPr>
          <w:rFonts w:ascii="Avenir Next LT Pro Light" w:hAnsi="Avenir Next LT Pro Light"/>
          <w:b/>
          <w:smallCaps/>
          <w:color w:val="002060"/>
          <w:sz w:val="28"/>
          <w:szCs w:val="28"/>
        </w:rPr>
        <w:t xml:space="preserve">d’actualité sur </w:t>
      </w:r>
      <w:r>
        <w:rPr>
          <w:rFonts w:ascii="Avenir Next LT Pro Light" w:hAnsi="Avenir Next LT Pro Light"/>
          <w:b/>
          <w:smallCaps/>
          <w:color w:val="002060"/>
          <w:sz w:val="28"/>
          <w:szCs w:val="28"/>
        </w:rPr>
        <w:t>le projet de loi « simplification »</w:t>
      </w:r>
    </w:p>
    <w:p w14:paraId="334AF28B" w14:textId="77777777" w:rsidR="000D5915" w:rsidRPr="00017ACD" w:rsidRDefault="000D5915" w:rsidP="000D5915">
      <w:pPr>
        <w:pBdr>
          <w:top w:val="single" w:sz="4" w:space="0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after="0" w:line="240" w:lineRule="auto"/>
        <w:jc w:val="center"/>
        <w:rPr>
          <w:rFonts w:ascii="Avenir Next LT Pro Light" w:hAnsi="Avenir Next LT Pro Light"/>
          <w:b/>
          <w:smallCaps/>
          <w:color w:val="002060"/>
          <w:sz w:val="28"/>
          <w:szCs w:val="28"/>
        </w:rPr>
      </w:pPr>
    </w:p>
    <w:p w14:paraId="5D47945D" w14:textId="7B1CDEB0" w:rsidR="000D5915" w:rsidRPr="006F7CC8" w:rsidRDefault="000D5915" w:rsidP="000D5915">
      <w:pPr>
        <w:pBdr>
          <w:top w:val="single" w:sz="4" w:space="0" w:color="002060"/>
          <w:left w:val="single" w:sz="4" w:space="4" w:color="002060"/>
          <w:bottom w:val="single" w:sz="4" w:space="1" w:color="002060"/>
          <w:right w:val="single" w:sz="4" w:space="4" w:color="002060"/>
        </w:pBdr>
        <w:spacing w:after="0" w:line="240" w:lineRule="auto"/>
        <w:jc w:val="center"/>
        <w:rPr>
          <w:rFonts w:ascii="Avenir Next LT Pro Light" w:hAnsi="Avenir Next LT Pro Light"/>
          <w:bCs/>
          <w:i/>
          <w:iCs/>
          <w:color w:val="002060"/>
          <w:sz w:val="24"/>
          <w:szCs w:val="24"/>
        </w:rPr>
      </w:pPr>
      <w:r w:rsidRPr="006F7CC8">
        <w:rPr>
          <w:rFonts w:ascii="Avenir Next LT Pro Light" w:hAnsi="Avenir Next LT Pro Light"/>
          <w:bCs/>
          <w:i/>
          <w:iCs/>
          <w:color w:val="002060"/>
          <w:sz w:val="24"/>
          <w:szCs w:val="24"/>
        </w:rPr>
        <w:t>24 avril 2024</w:t>
      </w:r>
    </w:p>
    <w:p w14:paraId="0900327F" w14:textId="77777777" w:rsidR="00895B0E" w:rsidRPr="00895B0E" w:rsidRDefault="00895B0E" w:rsidP="00EE7282">
      <w:pPr>
        <w:spacing w:after="120" w:line="240" w:lineRule="auto"/>
        <w:rPr>
          <w:rFonts w:ascii="Times New Roman" w:hAnsi="Times New Roman" w:cs="Times New Roman"/>
          <w:b/>
          <w:bCs/>
        </w:rPr>
      </w:pPr>
    </w:p>
    <w:p w14:paraId="0E2E0D43" w14:textId="0A0263A0" w:rsidR="00895B0E" w:rsidRDefault="00E25CFB" w:rsidP="006F7CC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Présenté ce jour en conseil des ministres, le projet de loi </w:t>
      </w:r>
      <w:r w:rsidR="00001AE6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r>
        <w:rPr>
          <w:rFonts w:ascii="Times New Roman" w:hAnsi="Times New Roman" w:cs="Times New Roman"/>
          <w:i/>
          <w:iCs/>
          <w:sz w:val="24"/>
          <w:szCs w:val="24"/>
        </w:rPr>
        <w:t>« simplification »</w:t>
      </w:r>
      <w:r w:rsidR="00001AE6">
        <w:rPr>
          <w:rFonts w:ascii="Times New Roman" w:hAnsi="Times New Roman" w:cs="Times New Roman"/>
          <w:i/>
          <w:iCs/>
          <w:sz w:val="24"/>
          <w:szCs w:val="24"/>
        </w:rPr>
        <w:t xml:space="preserve"> sera examiné, par une commission spéciale, au Sénat début juin.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95B0E">
        <w:rPr>
          <w:rFonts w:ascii="Times New Roman" w:hAnsi="Times New Roman" w:cs="Times New Roman"/>
          <w:i/>
          <w:iCs/>
          <w:sz w:val="24"/>
          <w:szCs w:val="24"/>
        </w:rPr>
        <w:t xml:space="preserve">La présente note revient sur le contexte dans lequel s’inscrit </w:t>
      </w:r>
      <w:r w:rsidR="006F7CC8">
        <w:rPr>
          <w:rFonts w:ascii="Times New Roman" w:hAnsi="Times New Roman" w:cs="Times New Roman"/>
          <w:i/>
          <w:iCs/>
          <w:sz w:val="24"/>
          <w:szCs w:val="24"/>
        </w:rPr>
        <w:t>ce</w:t>
      </w:r>
      <w:r w:rsidR="00231744">
        <w:rPr>
          <w:rFonts w:ascii="Times New Roman" w:hAnsi="Times New Roman" w:cs="Times New Roman"/>
          <w:i/>
          <w:iCs/>
          <w:sz w:val="24"/>
          <w:szCs w:val="24"/>
        </w:rPr>
        <w:t xml:space="preserve"> projet de loi </w:t>
      </w:r>
      <w:r w:rsidR="00895B0E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r w:rsidR="00FE757E">
        <w:rPr>
          <w:rFonts w:ascii="Times New Roman" w:hAnsi="Times New Roman" w:cs="Times New Roman"/>
          <w:i/>
          <w:iCs/>
          <w:sz w:val="24"/>
          <w:szCs w:val="24"/>
        </w:rPr>
        <w:t>présente les mesures du plan d’action simplification</w:t>
      </w:r>
      <w:r w:rsidR="00895B0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43583F6" w14:textId="77777777" w:rsidR="006F7CC8" w:rsidRPr="00AD25C6" w:rsidRDefault="006F7CC8" w:rsidP="006F7CC8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BF7937" w14:textId="6F78B770" w:rsidR="00895B0E" w:rsidRPr="00AD141F" w:rsidRDefault="00231744" w:rsidP="00AD141F">
      <w:pPr>
        <w:pStyle w:val="Titre2"/>
        <w:keepNext w:val="0"/>
        <w:keepLines w:val="0"/>
        <w:widowControl w:val="0"/>
        <w:numPr>
          <w:ilvl w:val="0"/>
          <w:numId w:val="2"/>
        </w:numPr>
        <w:pBdr>
          <w:bottom w:val="single" w:sz="4" w:space="1" w:color="002060"/>
        </w:pBdr>
        <w:shd w:val="clear" w:color="auto" w:fill="FFFFFF"/>
        <w:overflowPunct w:val="0"/>
        <w:autoSpaceDE w:val="0"/>
        <w:autoSpaceDN w:val="0"/>
        <w:adjustRightInd w:val="0"/>
        <w:spacing w:before="0" w:after="120" w:line="240" w:lineRule="auto"/>
        <w:ind w:left="567" w:hanging="567"/>
        <w:jc w:val="both"/>
        <w:textAlignment w:val="baseline"/>
        <w:rPr>
          <w:rFonts w:ascii="Times New Roman Gras" w:eastAsia="Times New Roman" w:hAnsi="Times New Roman Gras" w:cs="Times New Roman"/>
          <w:b/>
          <w:bCs/>
          <w:i/>
          <w:iCs/>
          <w:smallCaps/>
          <w:color w:val="002060"/>
          <w:kern w:val="0"/>
          <w:sz w:val="24"/>
          <w:szCs w:val="20"/>
          <w:lang w:eastAsia="fr-FR"/>
          <w14:ligatures w14:val="none"/>
        </w:rPr>
      </w:pPr>
      <w:r w:rsidRPr="00AD141F">
        <w:rPr>
          <w:rFonts w:ascii="Times New Roman Gras" w:eastAsia="Times New Roman" w:hAnsi="Times New Roman Gras" w:cs="Times New Roman"/>
          <w:b/>
          <w:bCs/>
          <w:i/>
          <w:iCs/>
          <w:smallCaps/>
          <w:color w:val="002060"/>
          <w:kern w:val="0"/>
          <w:sz w:val="24"/>
          <w:szCs w:val="20"/>
          <w:lang w:eastAsia="fr-FR"/>
          <w14:ligatures w14:val="none"/>
        </w:rPr>
        <w:t>Le contexte</w:t>
      </w:r>
      <w:r w:rsidR="00D3197A" w:rsidRPr="00AD141F">
        <w:rPr>
          <w:rFonts w:ascii="Times New Roman Gras" w:eastAsia="Times New Roman" w:hAnsi="Times New Roman Gras" w:cs="Times New Roman"/>
          <w:b/>
          <w:bCs/>
          <w:i/>
          <w:iCs/>
          <w:smallCaps/>
          <w:color w:val="002060"/>
          <w:kern w:val="0"/>
          <w:sz w:val="24"/>
          <w:szCs w:val="20"/>
          <w:lang w:eastAsia="fr-FR"/>
          <w14:ligatures w14:val="none"/>
        </w:rPr>
        <w:t xml:space="preserve"> politique et parlementaire</w:t>
      </w:r>
    </w:p>
    <w:p w14:paraId="768556E0" w14:textId="32CBF7B3" w:rsidR="00AD0DE0" w:rsidRPr="00D32AB8" w:rsidRDefault="00D32AB8" w:rsidP="00EE728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ccentuation"/>
          <w:rFonts w:ascii="Times New Roman" w:hAnsi="Times New Roman" w:cs="Times New Roman"/>
          <w:sz w:val="24"/>
          <w:szCs w:val="24"/>
          <w:shd w:val="clear" w:color="auto" w:fill="FFFFFF"/>
        </w:rPr>
        <w:t>« </w:t>
      </w:r>
      <w:r w:rsidR="00447FF1" w:rsidRPr="00D32AB8">
        <w:rPr>
          <w:rStyle w:val="Accentua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Débureaucratiser la </w:t>
      </w:r>
      <w:r>
        <w:rPr>
          <w:rStyle w:val="Accentuation"/>
          <w:rFonts w:ascii="Times New Roman" w:hAnsi="Times New Roman" w:cs="Times New Roman"/>
          <w:sz w:val="24"/>
          <w:szCs w:val="24"/>
          <w:shd w:val="clear" w:color="auto" w:fill="FFFFFF"/>
        </w:rPr>
        <w:t>France »</w:t>
      </w:r>
      <w:r w:rsidR="00447FF1" w:rsidRPr="00D32AB8">
        <w:rPr>
          <w:rStyle w:val="Accentuation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0044F" w:rsidRPr="00D32AB8">
        <w:rPr>
          <w:rStyle w:val="Accentuatio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044F" w:rsidRPr="004D3C60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C’</w:t>
      </w:r>
      <w:r w:rsidR="0020044F" w:rsidRPr="00D32AB8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est la</w:t>
      </w:r>
      <w:r w:rsidR="00447FF1" w:rsidRPr="00D32AB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0044F" w:rsidRPr="00D32AB8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 w:rsidR="00B73AD2" w:rsidRPr="00D32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olonté affichée par </w:t>
      </w:r>
      <w:r w:rsidR="00447FF1" w:rsidRPr="00D32AB8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4D3C60">
        <w:rPr>
          <w:rFonts w:ascii="Times New Roman" w:hAnsi="Times New Roman" w:cs="Times New Roman"/>
          <w:sz w:val="24"/>
          <w:szCs w:val="24"/>
          <w:shd w:val="clear" w:color="auto" w:fill="FFFFFF"/>
        </w:rPr>
        <w:t>abriel</w:t>
      </w:r>
      <w:r w:rsidR="00447FF1" w:rsidRPr="00D32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ATTAL</w:t>
      </w:r>
      <w:r w:rsidR="00AD141F">
        <w:rPr>
          <w:rFonts w:ascii="Times New Roman" w:hAnsi="Times New Roman" w:cs="Times New Roman"/>
          <w:sz w:val="24"/>
          <w:szCs w:val="24"/>
          <w:shd w:val="clear" w:color="auto" w:fill="FFFFFF"/>
        </w:rPr>
        <w:t>, Premier ministre,</w:t>
      </w:r>
      <w:r w:rsidR="0020044F" w:rsidRPr="00D32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qui souhaite tran</w:t>
      </w:r>
      <w:r w:rsidRPr="00D32A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sformer l’action publique </w:t>
      </w:r>
      <w:r w:rsidR="003156BE" w:rsidRPr="00D32AB8">
        <w:rPr>
          <w:rFonts w:ascii="Times New Roman" w:hAnsi="Times New Roman" w:cs="Times New Roman"/>
          <w:sz w:val="24"/>
          <w:szCs w:val="24"/>
          <w:shd w:val="clear" w:color="auto" w:fill="FFFFFF"/>
        </w:rPr>
        <w:t>en simplifiant les démarches et en facilitant le développement des entreprises par l’accélération des procédures administratives.</w:t>
      </w:r>
    </w:p>
    <w:p w14:paraId="0A2A5BE6" w14:textId="1A1B9E4B" w:rsidR="00AD0DE0" w:rsidRDefault="0099652E" w:rsidP="00AC7952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4E46">
        <w:rPr>
          <w:rFonts w:ascii="Times New Roman" w:hAnsi="Times New Roman" w:cs="Times New Roman"/>
          <w:iCs/>
          <w:sz w:val="24"/>
          <w:szCs w:val="24"/>
        </w:rPr>
        <w:t>En novembre 2023</w:t>
      </w:r>
      <w:r w:rsidR="00327733">
        <w:rPr>
          <w:rFonts w:ascii="Times New Roman" w:hAnsi="Times New Roman" w:cs="Times New Roman"/>
          <w:iCs/>
          <w:sz w:val="24"/>
          <w:szCs w:val="24"/>
        </w:rPr>
        <w:t>,</w:t>
      </w:r>
      <w:r w:rsidRPr="00E64E46">
        <w:rPr>
          <w:rFonts w:ascii="Times New Roman" w:hAnsi="Times New Roman" w:cs="Times New Roman"/>
          <w:iCs/>
          <w:sz w:val="24"/>
          <w:szCs w:val="24"/>
        </w:rPr>
        <w:t xml:space="preserve"> les ministres </w:t>
      </w:r>
      <w:r w:rsidR="00466819" w:rsidRPr="00E64E46">
        <w:rPr>
          <w:rFonts w:ascii="Times New Roman" w:hAnsi="Times New Roman" w:cs="Times New Roman"/>
          <w:iCs/>
          <w:sz w:val="24"/>
          <w:szCs w:val="24"/>
        </w:rPr>
        <w:t>Bruno LE MAIRE et Olivia GREGOIRE ont lancé « les rencontres de la simplification »</w:t>
      </w:r>
      <w:r w:rsidR="00AD141F">
        <w:rPr>
          <w:rFonts w:ascii="Times New Roman" w:hAnsi="Times New Roman" w:cs="Times New Roman"/>
          <w:iCs/>
          <w:sz w:val="24"/>
          <w:szCs w:val="24"/>
        </w:rPr>
        <w:t> :</w:t>
      </w:r>
      <w:r w:rsidR="00466819" w:rsidRPr="00E64E46">
        <w:rPr>
          <w:rFonts w:ascii="Times New Roman" w:hAnsi="Times New Roman" w:cs="Times New Roman"/>
          <w:iCs/>
          <w:sz w:val="24"/>
          <w:szCs w:val="24"/>
        </w:rPr>
        <w:t xml:space="preserve"> il s’agissait alors de préparer avec les </w:t>
      </w:r>
      <w:r w:rsidR="00327733" w:rsidRPr="00E64E46">
        <w:rPr>
          <w:rFonts w:ascii="Times New Roman" w:hAnsi="Times New Roman" w:cs="Times New Roman"/>
          <w:iCs/>
          <w:sz w:val="24"/>
          <w:szCs w:val="24"/>
        </w:rPr>
        <w:t>entrepreneurs</w:t>
      </w:r>
      <w:r w:rsidR="00E64E46" w:rsidRPr="00E64E46">
        <w:rPr>
          <w:rFonts w:ascii="Times New Roman" w:hAnsi="Times New Roman" w:cs="Times New Roman"/>
          <w:iCs/>
          <w:sz w:val="24"/>
          <w:szCs w:val="24"/>
        </w:rPr>
        <w:t xml:space="preserve"> un plan d’action visant à </w:t>
      </w:r>
      <w:r w:rsidRPr="00E64E46">
        <w:rPr>
          <w:rFonts w:ascii="Times New Roman" w:hAnsi="Times New Roman" w:cs="Times New Roman"/>
          <w:iCs/>
          <w:sz w:val="24"/>
          <w:szCs w:val="24"/>
        </w:rPr>
        <w:t>simplifier et libérer l’économie française.</w:t>
      </w:r>
      <w:r w:rsidR="0032773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660998B" w14:textId="2EC5BD48" w:rsidR="009171BA" w:rsidRDefault="00327733" w:rsidP="00AC79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 travers une démarche de co-construction, le gouvernement </w:t>
      </w:r>
      <w:r w:rsidR="00A51045">
        <w:rPr>
          <w:rFonts w:ascii="Times New Roman" w:hAnsi="Times New Roman" w:cs="Times New Roman"/>
          <w:sz w:val="24"/>
          <w:szCs w:val="24"/>
          <w:shd w:val="clear" w:color="auto" w:fill="FFFFFF"/>
        </w:rPr>
        <w:t>souhaite</w:t>
      </w:r>
      <w:r w:rsidR="00334DCB" w:rsidRPr="00E64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simplifier la vie des entreprises et de leurs patrons</w:t>
      </w:r>
      <w:r w:rsidR="0010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le but étant de </w:t>
      </w:r>
      <w:r w:rsidR="00334DCB" w:rsidRPr="00E64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A61" w:rsidRPr="00E64E46">
        <w:rPr>
          <w:rFonts w:ascii="Times New Roman" w:hAnsi="Times New Roman" w:cs="Times New Roman"/>
          <w:sz w:val="24"/>
          <w:szCs w:val="24"/>
          <w:shd w:val="clear" w:color="auto" w:fill="FFFFFF"/>
        </w:rPr>
        <w:t>réduire les « normes inutiles » selon l’expression de Bruno L</w:t>
      </w:r>
      <w:r w:rsidR="002A5A5C" w:rsidRPr="00E64E46">
        <w:rPr>
          <w:rFonts w:ascii="Times New Roman" w:hAnsi="Times New Roman" w:cs="Times New Roman"/>
          <w:sz w:val="24"/>
          <w:szCs w:val="24"/>
          <w:shd w:val="clear" w:color="auto" w:fill="FFFFFF"/>
        </w:rPr>
        <w:t>E MAIRE</w:t>
      </w:r>
      <w:r w:rsidR="00164A61" w:rsidRPr="00E64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41F" w14:paraId="4B61C820" w14:textId="77777777" w:rsidTr="00AD141F">
        <w:tc>
          <w:tcPr>
            <w:tcW w:w="9016" w:type="dxa"/>
          </w:tcPr>
          <w:p w14:paraId="752EF610" w14:textId="77777777" w:rsidR="003D61B7" w:rsidRPr="00AD141F" w:rsidRDefault="003D61B7" w:rsidP="00AC795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AD141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NB :</w:t>
            </w:r>
          </w:p>
          <w:p w14:paraId="25A2A885" w14:textId="16FA7588" w:rsidR="003D61B7" w:rsidRDefault="003D61B7" w:rsidP="00AC79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La délégation aux entreprises du Sénat a réalisé un rapport d’information le 15 juin 2023</w:t>
            </w:r>
            <w:r w:rsidR="00662F64">
              <w:rPr>
                <w:rStyle w:val="Appelnotedebasdep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C27AE96" w14:textId="77777777" w:rsidR="003D61B7" w:rsidRDefault="003D61B7" w:rsidP="00AC795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Ce dernier formulait sept recommandations en faveur d’une simplification des normes parmi lesquels on retrouve : </w:t>
            </w:r>
          </w:p>
          <w:p w14:paraId="49619A24" w14:textId="77777777" w:rsidR="003D61B7" w:rsidRDefault="003D61B7" w:rsidP="00AC7952">
            <w:pPr>
              <w:pStyle w:val="Paragraphedeliste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0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 création d’un Conseil national de simplification pour les entreprises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;</w:t>
            </w:r>
          </w:p>
          <w:p w14:paraId="6715D38D" w14:textId="4F9EDBE6" w:rsidR="00AD141F" w:rsidRPr="003D61B7" w:rsidRDefault="003D61B7" w:rsidP="00AC7952">
            <w:pPr>
              <w:pStyle w:val="Paragraphedeliste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0D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l’accompagnement des entreprises vers une meilleure compréhension de la norme. </w:t>
            </w:r>
          </w:p>
        </w:tc>
      </w:tr>
    </w:tbl>
    <w:p w14:paraId="50AED2BA" w14:textId="295758E8" w:rsidR="00A630E8" w:rsidRDefault="00E9043A" w:rsidP="00AC795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</w:t>
      </w:r>
      <w:r w:rsidR="00BA0837">
        <w:rPr>
          <w:rFonts w:ascii="Times New Roman" w:hAnsi="Times New Roman" w:cs="Times New Roman"/>
          <w:sz w:val="24"/>
          <w:szCs w:val="24"/>
          <w:shd w:val="clear" w:color="auto" w:fill="FFFFFF"/>
        </w:rPr>
        <w:t>es normes pèsent sur la compétitivité des TPE, PME et ETI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p</w:t>
      </w:r>
      <w:r w:rsidR="00BA0837">
        <w:rPr>
          <w:rFonts w:ascii="Times New Roman" w:hAnsi="Times New Roman" w:cs="Times New Roman"/>
          <w:sz w:val="24"/>
          <w:szCs w:val="24"/>
          <w:shd w:val="clear" w:color="auto" w:fill="FFFFFF"/>
        </w:rPr>
        <w:t>our cela, la simplification des normes doit devenir une priorité politique</w:t>
      </w:r>
      <w:r w:rsidR="00FE0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A3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 effet, </w:t>
      </w:r>
      <w:r w:rsidR="00BB40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50% </w:t>
      </w:r>
      <w:r w:rsidR="006B12AE" w:rsidRPr="006B12AE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B1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la part des </w:t>
      </w:r>
      <w:r w:rsidR="006B12AE" w:rsidRPr="006B12AE">
        <w:rPr>
          <w:rFonts w:ascii="Times New Roman" w:hAnsi="Times New Roman" w:cs="Times New Roman"/>
          <w:sz w:val="24"/>
          <w:szCs w:val="24"/>
          <w:shd w:val="clear" w:color="auto" w:fill="FFFFFF"/>
        </w:rPr>
        <w:t>entreprises disent avoir été contraintes de renoncer à des aides publiques dont elles auraient pu bénéficier en raison de la complexité</w:t>
      </w:r>
      <w:r w:rsidR="00FE0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 normes</w:t>
      </w:r>
      <w:r w:rsidR="00662F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E04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223CFB9" w14:textId="74DC2874" w:rsidR="00164A61" w:rsidRPr="00E64E46" w:rsidRDefault="00164A61" w:rsidP="00AC795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4E46">
        <w:rPr>
          <w:rFonts w:ascii="Times New Roman" w:hAnsi="Times New Roman" w:cs="Times New Roman"/>
          <w:sz w:val="24"/>
          <w:szCs w:val="24"/>
          <w:shd w:val="clear" w:color="auto" w:fill="FFFFFF"/>
        </w:rPr>
        <w:t>Plusieurs objectifs sont</w:t>
      </w:r>
      <w:r w:rsidR="00105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alors</w:t>
      </w:r>
      <w:r w:rsidRPr="00E64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visés par ce</w:t>
      </w:r>
      <w:r w:rsidR="00662F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45075">
        <w:rPr>
          <w:rFonts w:ascii="Times New Roman" w:hAnsi="Times New Roman" w:cs="Times New Roman"/>
          <w:sz w:val="24"/>
          <w:szCs w:val="24"/>
          <w:shd w:val="clear" w:color="auto" w:fill="FFFFFF"/>
        </w:rPr>
        <w:t>projet de loi (</w:t>
      </w:r>
      <w:r w:rsidRPr="00E64E46">
        <w:rPr>
          <w:rFonts w:ascii="Times New Roman" w:hAnsi="Times New Roman" w:cs="Times New Roman"/>
          <w:sz w:val="24"/>
          <w:szCs w:val="24"/>
          <w:shd w:val="clear" w:color="auto" w:fill="FFFFFF"/>
        </w:rPr>
        <w:t>PJL</w:t>
      </w:r>
      <w:r w:rsidR="0044507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E64E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: </w:t>
      </w:r>
    </w:p>
    <w:p w14:paraId="42F2BBD4" w14:textId="73901145" w:rsidR="00164A61" w:rsidRPr="00E64E46" w:rsidRDefault="002A5A5C" w:rsidP="00AC7952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51CE3">
        <w:rPr>
          <w:rFonts w:ascii="Times New Roman" w:hAnsi="Times New Roman" w:cs="Times New Roman"/>
          <w:sz w:val="24"/>
          <w:szCs w:val="24"/>
        </w:rPr>
        <w:t>a s</w:t>
      </w:r>
      <w:r w:rsidR="00164A61" w:rsidRPr="00E64E46">
        <w:rPr>
          <w:rFonts w:ascii="Times New Roman" w:hAnsi="Times New Roman" w:cs="Times New Roman"/>
          <w:sz w:val="24"/>
          <w:szCs w:val="24"/>
        </w:rPr>
        <w:t>implification des régimes d’autorisation ou de l’organisation administrative par une nouvelle suppression de « comit</w:t>
      </w:r>
      <w:r w:rsidR="00B614E6" w:rsidRPr="00E64E46">
        <w:rPr>
          <w:rFonts w:ascii="Times New Roman" w:hAnsi="Times New Roman" w:cs="Times New Roman"/>
          <w:sz w:val="24"/>
          <w:szCs w:val="24"/>
        </w:rPr>
        <w:t>és Théodule »</w:t>
      </w:r>
      <w:r w:rsidR="00551CE3">
        <w:rPr>
          <w:rFonts w:ascii="Times New Roman" w:hAnsi="Times New Roman" w:cs="Times New Roman"/>
          <w:sz w:val="24"/>
          <w:szCs w:val="24"/>
        </w:rPr>
        <w:t>,</w:t>
      </w:r>
      <w:r w:rsidR="00B614E6" w:rsidRPr="00E64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B1EA5" w14:textId="1E5F19AD" w:rsidR="00CA1AA2" w:rsidRPr="00E64E46" w:rsidRDefault="00551CE3" w:rsidP="00EE7282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614E6" w:rsidRPr="00E64E46">
        <w:rPr>
          <w:rFonts w:ascii="Times New Roman" w:hAnsi="Times New Roman" w:cs="Times New Roman"/>
          <w:sz w:val="24"/>
          <w:szCs w:val="24"/>
        </w:rPr>
        <w:t xml:space="preserve">aciliter l’accès à la commande publique en ligne </w:t>
      </w:r>
      <w:r w:rsidR="00B614E6" w:rsidRPr="002D7DDD">
        <w:rPr>
          <w:rFonts w:ascii="Times New Roman" w:hAnsi="Times New Roman" w:cs="Times New Roman"/>
          <w:i/>
          <w:iCs/>
          <w:sz w:val="24"/>
          <w:szCs w:val="24"/>
        </w:rPr>
        <w:t>via</w:t>
      </w:r>
      <w:r w:rsidR="00B614E6" w:rsidRPr="00E64E46">
        <w:rPr>
          <w:rFonts w:ascii="Times New Roman" w:hAnsi="Times New Roman" w:cs="Times New Roman"/>
          <w:sz w:val="24"/>
          <w:szCs w:val="24"/>
        </w:rPr>
        <w:t xml:space="preserve"> </w:t>
      </w:r>
      <w:r w:rsidR="00CA1AA2" w:rsidRPr="00E64E46">
        <w:rPr>
          <w:rFonts w:ascii="Times New Roman" w:hAnsi="Times New Roman" w:cs="Times New Roman"/>
          <w:sz w:val="24"/>
          <w:szCs w:val="24"/>
        </w:rPr>
        <w:t>un plus grand recours à la plateforme des achats de l’Etat</w:t>
      </w:r>
      <w:r w:rsidR="002D7DDD">
        <w:rPr>
          <w:rFonts w:ascii="Times New Roman" w:hAnsi="Times New Roman" w:cs="Times New Roman"/>
          <w:sz w:val="24"/>
          <w:szCs w:val="24"/>
        </w:rPr>
        <w:t xml:space="preserve"> (</w:t>
      </w:r>
      <w:r w:rsidR="00F56061">
        <w:rPr>
          <w:rFonts w:ascii="Times New Roman" w:hAnsi="Times New Roman" w:cs="Times New Roman"/>
          <w:sz w:val="24"/>
          <w:szCs w:val="24"/>
        </w:rPr>
        <w:t>« </w:t>
      </w:r>
      <w:r w:rsidR="002A5A5C">
        <w:rPr>
          <w:rFonts w:ascii="Times New Roman" w:hAnsi="Times New Roman" w:cs="Times New Roman"/>
          <w:sz w:val="24"/>
          <w:szCs w:val="24"/>
        </w:rPr>
        <w:t>Place</w:t>
      </w:r>
      <w:r w:rsidR="00F56061">
        <w:rPr>
          <w:rFonts w:ascii="Times New Roman" w:hAnsi="Times New Roman" w:cs="Times New Roman"/>
          <w:sz w:val="24"/>
          <w:szCs w:val="24"/>
        </w:rPr>
        <w:t> »</w:t>
      </w:r>
      <w:r w:rsidR="002A5A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1AA2" w:rsidRPr="00E64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693A2" w14:textId="5DFFAC06" w:rsidR="000A3670" w:rsidRDefault="002A5A5C" w:rsidP="00EE7282">
      <w:pPr>
        <w:pStyle w:val="Paragraphedeliste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A1AA2" w:rsidRPr="00E64E46">
        <w:rPr>
          <w:rFonts w:ascii="Times New Roman" w:hAnsi="Times New Roman" w:cs="Times New Roman"/>
          <w:sz w:val="24"/>
          <w:szCs w:val="24"/>
        </w:rPr>
        <w:t xml:space="preserve">aciliter </w:t>
      </w:r>
      <w:r w:rsidR="00A3613B" w:rsidRPr="00E64E46">
        <w:rPr>
          <w:rFonts w:ascii="Times New Roman" w:hAnsi="Times New Roman" w:cs="Times New Roman"/>
          <w:sz w:val="24"/>
          <w:szCs w:val="24"/>
        </w:rPr>
        <w:t>et sécuriser le règlement des litiges en généralisant et simplifiant les dispositifs de médiation</w:t>
      </w:r>
      <w:r w:rsidR="00551C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7CFB08" w14:textId="77777777" w:rsidR="00A444A3" w:rsidRPr="00A444A3" w:rsidRDefault="00A444A3" w:rsidP="00EE7282">
      <w:pPr>
        <w:pStyle w:val="Paragraphedeliste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A3F707" w14:textId="77777777" w:rsidR="00F958C3" w:rsidRPr="00F56061" w:rsidRDefault="00F958C3" w:rsidP="00F56061">
      <w:pPr>
        <w:pStyle w:val="Titre2"/>
        <w:keepNext w:val="0"/>
        <w:keepLines w:val="0"/>
        <w:widowControl w:val="0"/>
        <w:numPr>
          <w:ilvl w:val="0"/>
          <w:numId w:val="2"/>
        </w:numPr>
        <w:pBdr>
          <w:bottom w:val="single" w:sz="4" w:space="1" w:color="002060"/>
        </w:pBdr>
        <w:shd w:val="clear" w:color="auto" w:fill="FFFFFF"/>
        <w:overflowPunct w:val="0"/>
        <w:autoSpaceDE w:val="0"/>
        <w:autoSpaceDN w:val="0"/>
        <w:adjustRightInd w:val="0"/>
        <w:spacing w:before="0" w:after="120" w:line="240" w:lineRule="auto"/>
        <w:ind w:left="567" w:hanging="567"/>
        <w:jc w:val="both"/>
        <w:textAlignment w:val="baseline"/>
        <w:rPr>
          <w:rFonts w:ascii="Times New Roman Gras" w:eastAsia="Times New Roman" w:hAnsi="Times New Roman Gras" w:cs="Times New Roman"/>
          <w:b/>
          <w:bCs/>
          <w:i/>
          <w:iCs/>
          <w:smallCaps/>
          <w:color w:val="002060"/>
          <w:kern w:val="0"/>
          <w:sz w:val="24"/>
          <w:szCs w:val="20"/>
          <w:lang w:eastAsia="fr-FR"/>
          <w14:ligatures w14:val="none"/>
        </w:rPr>
      </w:pPr>
      <w:r w:rsidRPr="00F56061">
        <w:rPr>
          <w:rFonts w:ascii="Times New Roman Gras" w:eastAsia="Times New Roman" w:hAnsi="Times New Roman Gras" w:cs="Times New Roman"/>
          <w:b/>
          <w:bCs/>
          <w:i/>
          <w:iCs/>
          <w:smallCaps/>
          <w:color w:val="002060"/>
          <w:kern w:val="0"/>
          <w:sz w:val="24"/>
          <w:szCs w:val="20"/>
          <w:lang w:eastAsia="fr-FR"/>
          <w14:ligatures w14:val="none"/>
        </w:rPr>
        <w:t xml:space="preserve">Les éléments connus de la feuille de route du Gouvernement </w:t>
      </w:r>
    </w:p>
    <w:p w14:paraId="432A50AB" w14:textId="5A90C2FB" w:rsidR="00D22830" w:rsidRDefault="00F56061" w:rsidP="00EE7282">
      <w:pPr>
        <w:tabs>
          <w:tab w:val="left" w:pos="3795"/>
        </w:tabs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Au-delà du PJL stricto sensu, l</w:t>
      </w:r>
      <w:r w:rsidR="00D22830">
        <w:rPr>
          <w:rFonts w:ascii="Times New Roman" w:hAnsi="Times New Roman" w:cs="Times New Roman"/>
          <w:iCs/>
          <w:sz w:val="24"/>
          <w:szCs w:val="24"/>
        </w:rPr>
        <w:t xml:space="preserve">es ministres Bruno </w:t>
      </w:r>
      <w:r w:rsidR="00952261">
        <w:rPr>
          <w:rFonts w:ascii="Times New Roman" w:hAnsi="Times New Roman" w:cs="Times New Roman"/>
          <w:iCs/>
          <w:sz w:val="24"/>
          <w:szCs w:val="24"/>
        </w:rPr>
        <w:t>LE MAIRE</w:t>
      </w:r>
      <w:r w:rsidR="00D22830">
        <w:rPr>
          <w:rFonts w:ascii="Times New Roman" w:hAnsi="Times New Roman" w:cs="Times New Roman"/>
          <w:iCs/>
          <w:sz w:val="24"/>
          <w:szCs w:val="24"/>
        </w:rPr>
        <w:t>, Olivia G</w:t>
      </w:r>
      <w:r w:rsidR="00952261">
        <w:rPr>
          <w:rFonts w:ascii="Times New Roman" w:hAnsi="Times New Roman" w:cs="Times New Roman"/>
          <w:iCs/>
          <w:sz w:val="24"/>
          <w:szCs w:val="24"/>
        </w:rPr>
        <w:t>REGOIRE</w:t>
      </w:r>
      <w:r w:rsidR="00D2283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2261">
        <w:rPr>
          <w:rFonts w:ascii="Times New Roman" w:hAnsi="Times New Roman" w:cs="Times New Roman"/>
          <w:iCs/>
          <w:sz w:val="24"/>
          <w:szCs w:val="24"/>
        </w:rPr>
        <w:t xml:space="preserve">et Stanislas GUERINI ont présenté le 24 avril 2024 les </w:t>
      </w:r>
      <w:r w:rsidR="00952261" w:rsidRPr="006F7CC8">
        <w:rPr>
          <w:rFonts w:ascii="Times New Roman" w:hAnsi="Times New Roman" w:cs="Times New Roman"/>
          <w:b/>
          <w:bCs/>
          <w:iCs/>
          <w:sz w:val="24"/>
          <w:szCs w:val="24"/>
        </w:rPr>
        <w:t>52 mesures du</w:t>
      </w:r>
      <w:r w:rsidR="0095226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2261" w:rsidRPr="00F56061">
        <w:rPr>
          <w:rFonts w:ascii="Times New Roman" w:hAnsi="Times New Roman" w:cs="Times New Roman"/>
          <w:b/>
          <w:bCs/>
          <w:iCs/>
          <w:sz w:val="24"/>
          <w:szCs w:val="24"/>
        </w:rPr>
        <w:t>plan d’action simplification</w:t>
      </w:r>
      <w:r w:rsidR="00615CFB" w:rsidRPr="00F56061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615CF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611F9E5" w14:textId="0172A733" w:rsidR="000A3670" w:rsidRPr="00F56061" w:rsidRDefault="000A3670" w:rsidP="00EE7282">
      <w:pPr>
        <w:pStyle w:val="Paragraphedeliste"/>
        <w:numPr>
          <w:ilvl w:val="0"/>
          <w:numId w:val="7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6061">
        <w:rPr>
          <w:rFonts w:ascii="Times New Roman" w:hAnsi="Times New Roman" w:cs="Times New Roman"/>
          <w:i/>
          <w:sz w:val="24"/>
          <w:szCs w:val="24"/>
          <w:u w:val="single"/>
        </w:rPr>
        <w:t>Simplifier</w:t>
      </w:r>
      <w:r w:rsidR="00615CFB" w:rsidRPr="00F56061">
        <w:rPr>
          <w:rFonts w:ascii="Times New Roman" w:hAnsi="Times New Roman" w:cs="Times New Roman"/>
          <w:i/>
          <w:sz w:val="24"/>
          <w:szCs w:val="24"/>
          <w:u w:val="single"/>
        </w:rPr>
        <w:t xml:space="preserve"> les démarches</w:t>
      </w:r>
      <w:r w:rsidRPr="00F56061">
        <w:rPr>
          <w:rFonts w:ascii="Times New Roman" w:hAnsi="Times New Roman" w:cs="Times New Roman"/>
          <w:i/>
          <w:sz w:val="24"/>
          <w:szCs w:val="24"/>
          <w:u w:val="single"/>
        </w:rPr>
        <w:t xml:space="preserve"> pour toutes les entreprises</w:t>
      </w:r>
    </w:p>
    <w:p w14:paraId="31FE4533" w14:textId="77777777" w:rsidR="004A07EA" w:rsidRDefault="00272848" w:rsidP="00EE7282">
      <w:pPr>
        <w:tabs>
          <w:tab w:val="left" w:pos="3795"/>
        </w:tabs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Il s’agit de simplifier radicalement les démarches administratives des entreprises </w:t>
      </w:r>
      <w:r w:rsidR="00E47AE0">
        <w:rPr>
          <w:rFonts w:ascii="Times New Roman" w:hAnsi="Times New Roman" w:cs="Times New Roman"/>
          <w:iCs/>
          <w:sz w:val="24"/>
          <w:szCs w:val="24"/>
        </w:rPr>
        <w:t>en</w:t>
      </w:r>
      <w:r w:rsidR="004A07EA">
        <w:rPr>
          <w:rFonts w:ascii="Times New Roman" w:hAnsi="Times New Roman" w:cs="Times New Roman"/>
          <w:iCs/>
          <w:sz w:val="24"/>
          <w:szCs w:val="24"/>
        </w:rPr>
        <w:t> :</w:t>
      </w:r>
    </w:p>
    <w:p w14:paraId="42A3247D" w14:textId="6ED35B36" w:rsidR="00355101" w:rsidRDefault="00E47AE0" w:rsidP="00EE7282">
      <w:pPr>
        <w:pStyle w:val="Paragraphedeliste"/>
        <w:numPr>
          <w:ilvl w:val="0"/>
          <w:numId w:val="9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5101">
        <w:rPr>
          <w:rFonts w:ascii="Times New Roman" w:hAnsi="Times New Roman" w:cs="Times New Roman"/>
          <w:iCs/>
          <w:sz w:val="24"/>
          <w:szCs w:val="24"/>
        </w:rPr>
        <w:t xml:space="preserve">supprimant tous les </w:t>
      </w:r>
      <w:r w:rsidR="00D33F5E" w:rsidRPr="00355101">
        <w:rPr>
          <w:rFonts w:ascii="Times New Roman" w:hAnsi="Times New Roman" w:cs="Times New Roman"/>
          <w:iCs/>
          <w:sz w:val="24"/>
          <w:szCs w:val="24"/>
        </w:rPr>
        <w:t>formulaires Cerfa</w:t>
      </w:r>
      <w:r w:rsidR="00604E3F" w:rsidRPr="00355101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6BD93867" w14:textId="45836F83" w:rsidR="000C6D76" w:rsidRDefault="00604E3F" w:rsidP="00EE7282">
      <w:pPr>
        <w:pStyle w:val="Paragraphedeliste"/>
        <w:numPr>
          <w:ilvl w:val="0"/>
          <w:numId w:val="9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55101">
        <w:rPr>
          <w:rFonts w:ascii="Times New Roman" w:hAnsi="Times New Roman" w:cs="Times New Roman"/>
          <w:iCs/>
          <w:sz w:val="24"/>
          <w:szCs w:val="24"/>
        </w:rPr>
        <w:lastRenderedPageBreak/>
        <w:t>simplifi</w:t>
      </w:r>
      <w:r w:rsidR="004A07EA" w:rsidRPr="00355101">
        <w:rPr>
          <w:rFonts w:ascii="Times New Roman" w:hAnsi="Times New Roman" w:cs="Times New Roman"/>
          <w:iCs/>
          <w:sz w:val="24"/>
          <w:szCs w:val="24"/>
        </w:rPr>
        <w:t xml:space="preserve">ant l’accès à la </w:t>
      </w:r>
      <w:r w:rsidR="00355101">
        <w:rPr>
          <w:rFonts w:ascii="Times New Roman" w:hAnsi="Times New Roman" w:cs="Times New Roman"/>
          <w:iCs/>
          <w:sz w:val="24"/>
          <w:szCs w:val="24"/>
        </w:rPr>
        <w:t>commande publique</w:t>
      </w:r>
      <w:r w:rsidR="00984915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E45756">
        <w:rPr>
          <w:rFonts w:ascii="Times New Roman" w:hAnsi="Times New Roman" w:cs="Times New Roman"/>
          <w:iCs/>
          <w:sz w:val="24"/>
          <w:szCs w:val="24"/>
        </w:rPr>
        <w:t>facilitation du processus de candidature aux marchés publi</w:t>
      </w:r>
      <w:r w:rsidR="002E3080">
        <w:rPr>
          <w:rFonts w:ascii="Times New Roman" w:hAnsi="Times New Roman" w:cs="Times New Roman"/>
          <w:iCs/>
          <w:sz w:val="24"/>
          <w:szCs w:val="24"/>
        </w:rPr>
        <w:t>cs</w:t>
      </w:r>
      <w:r w:rsidR="00984915">
        <w:rPr>
          <w:rFonts w:ascii="Times New Roman" w:hAnsi="Times New Roman" w:cs="Times New Roman"/>
          <w:iCs/>
          <w:sz w:val="24"/>
          <w:szCs w:val="24"/>
        </w:rPr>
        <w:t>)</w:t>
      </w:r>
      <w:r w:rsidR="002256BB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73095266" w14:textId="0CBC1FDC" w:rsidR="002256BB" w:rsidRDefault="002256BB" w:rsidP="00EE7282">
      <w:pPr>
        <w:pStyle w:val="Paragraphedeliste"/>
        <w:numPr>
          <w:ilvl w:val="0"/>
          <w:numId w:val="9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D366BC">
        <w:rPr>
          <w:rFonts w:ascii="Times New Roman" w:hAnsi="Times New Roman" w:cs="Times New Roman"/>
          <w:iCs/>
          <w:sz w:val="24"/>
          <w:szCs w:val="24"/>
        </w:rPr>
        <w:t>llégeant les contraintes qui pèsent sur l’organisation des entreprises</w:t>
      </w:r>
      <w:r w:rsidR="00BA18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6147">
        <w:rPr>
          <w:rFonts w:ascii="Times New Roman" w:hAnsi="Times New Roman" w:cs="Times New Roman"/>
          <w:iCs/>
          <w:sz w:val="24"/>
          <w:szCs w:val="24"/>
        </w:rPr>
        <w:t>en créant un bulletin de paie simplifié</w:t>
      </w:r>
      <w:r w:rsidR="00EA2CED">
        <w:rPr>
          <w:rFonts w:ascii="Times New Roman" w:hAnsi="Times New Roman" w:cs="Times New Roman"/>
          <w:iCs/>
          <w:sz w:val="24"/>
          <w:szCs w:val="24"/>
        </w:rPr>
        <w:t xml:space="preserve"> et en diminuant les démarches lors d’une fusion ou d’un rachat, </w:t>
      </w:r>
    </w:p>
    <w:p w14:paraId="5AAF2B99" w14:textId="7D2C8570" w:rsidR="00E47AE0" w:rsidRDefault="00EA2CED" w:rsidP="00EE7282">
      <w:pPr>
        <w:pStyle w:val="Paragraphedeliste"/>
        <w:numPr>
          <w:ilvl w:val="0"/>
          <w:numId w:val="9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ré</w:t>
      </w:r>
      <w:r w:rsidR="00195FEB">
        <w:rPr>
          <w:rFonts w:ascii="Times New Roman" w:hAnsi="Times New Roman" w:cs="Times New Roman"/>
          <w:iCs/>
          <w:sz w:val="24"/>
          <w:szCs w:val="24"/>
        </w:rPr>
        <w:t xml:space="preserve">duisant et rationalisant les normes qui </w:t>
      </w:r>
      <w:r w:rsidR="00964F44">
        <w:rPr>
          <w:rFonts w:ascii="Times New Roman" w:hAnsi="Times New Roman" w:cs="Times New Roman"/>
          <w:iCs/>
          <w:sz w:val="24"/>
          <w:szCs w:val="24"/>
        </w:rPr>
        <w:t>pèsent sur</w:t>
      </w:r>
      <w:r w:rsidR="00195FEB">
        <w:rPr>
          <w:rFonts w:ascii="Times New Roman" w:hAnsi="Times New Roman" w:cs="Times New Roman"/>
          <w:iCs/>
          <w:sz w:val="24"/>
          <w:szCs w:val="24"/>
        </w:rPr>
        <w:t xml:space="preserve"> les entreprises</w:t>
      </w:r>
      <w:r w:rsidR="00A444A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5221724" w14:textId="77777777" w:rsidR="00B4155A" w:rsidRPr="00EA2CED" w:rsidRDefault="00B4155A" w:rsidP="00EE7282">
      <w:pPr>
        <w:pStyle w:val="Paragraphedeliste"/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527E302" w14:textId="0725A5F0" w:rsidR="00615CFB" w:rsidRPr="00BA1838" w:rsidRDefault="00615CFB" w:rsidP="00EE7282">
      <w:pPr>
        <w:pStyle w:val="Paragraphedeliste"/>
        <w:numPr>
          <w:ilvl w:val="0"/>
          <w:numId w:val="7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1838">
        <w:rPr>
          <w:rFonts w:ascii="Times New Roman" w:hAnsi="Times New Roman" w:cs="Times New Roman"/>
          <w:i/>
          <w:sz w:val="24"/>
          <w:szCs w:val="24"/>
          <w:u w:val="single"/>
        </w:rPr>
        <w:t xml:space="preserve">Simplifier les démarches pour les petites entreprises </w:t>
      </w:r>
    </w:p>
    <w:p w14:paraId="5C0ABCD2" w14:textId="41717607" w:rsidR="00D5628C" w:rsidRDefault="008A2896" w:rsidP="00EE7282">
      <w:pPr>
        <w:tabs>
          <w:tab w:val="left" w:pos="3795"/>
        </w:tabs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Plusieurs solutions ont été proposé</w:t>
      </w:r>
      <w:r w:rsidR="00165FA5">
        <w:rPr>
          <w:rFonts w:ascii="Times New Roman" w:hAnsi="Times New Roman" w:cs="Times New Roman"/>
          <w:iCs/>
          <w:sz w:val="24"/>
          <w:szCs w:val="24"/>
        </w:rPr>
        <w:t>e</w:t>
      </w:r>
      <w:r>
        <w:rPr>
          <w:rFonts w:ascii="Times New Roman" w:hAnsi="Times New Roman" w:cs="Times New Roman"/>
          <w:iCs/>
          <w:sz w:val="24"/>
          <w:szCs w:val="24"/>
        </w:rPr>
        <w:t xml:space="preserve">s pour simplifier la vie des très petites </w:t>
      </w:r>
      <w:r w:rsidR="00165FA5">
        <w:rPr>
          <w:rFonts w:ascii="Times New Roman" w:hAnsi="Times New Roman" w:cs="Times New Roman"/>
          <w:iCs/>
          <w:sz w:val="24"/>
          <w:szCs w:val="24"/>
        </w:rPr>
        <w:t xml:space="preserve">et petites </w:t>
      </w:r>
      <w:r>
        <w:rPr>
          <w:rFonts w:ascii="Times New Roman" w:hAnsi="Times New Roman" w:cs="Times New Roman"/>
          <w:iCs/>
          <w:sz w:val="24"/>
          <w:szCs w:val="24"/>
        </w:rPr>
        <w:t>entreprises</w:t>
      </w:r>
      <w:r w:rsidR="00165FA5">
        <w:rPr>
          <w:rFonts w:ascii="Times New Roman" w:hAnsi="Times New Roman" w:cs="Times New Roman"/>
          <w:iCs/>
          <w:sz w:val="24"/>
          <w:szCs w:val="24"/>
        </w:rPr>
        <w:t>, des indépendants et des artisans</w:t>
      </w:r>
      <w:r w:rsidR="00964F4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627B">
        <w:rPr>
          <w:rFonts w:ascii="Times New Roman" w:hAnsi="Times New Roman" w:cs="Times New Roman"/>
          <w:iCs/>
          <w:sz w:val="24"/>
          <w:szCs w:val="24"/>
        </w:rPr>
        <w:t xml:space="preserve">tel que : </w:t>
      </w:r>
    </w:p>
    <w:p w14:paraId="14E89B3B" w14:textId="6D522EF3" w:rsidR="00D0627B" w:rsidRDefault="00D0627B" w:rsidP="00EE7282">
      <w:pPr>
        <w:pStyle w:val="Paragraphedeliste"/>
        <w:numPr>
          <w:ilvl w:val="0"/>
          <w:numId w:val="10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L’alignement des droits</w:t>
      </w:r>
      <w:r w:rsidRPr="00D0627B">
        <w:rPr>
          <w:rFonts w:ascii="Times New Roman" w:hAnsi="Times New Roman" w:cs="Times New Roman"/>
          <w:iCs/>
          <w:sz w:val="24"/>
          <w:szCs w:val="24"/>
        </w:rPr>
        <w:t xml:space="preserve"> des professionnels et des particuliers en matière de clôture de compte bancaire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18C408DD" w14:textId="2C14D078" w:rsidR="00BC31E9" w:rsidRDefault="00BC31E9" w:rsidP="00EE7282">
      <w:pPr>
        <w:pStyle w:val="Paragraphedeliste"/>
        <w:numPr>
          <w:ilvl w:val="0"/>
          <w:numId w:val="10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L’allègement des obligations </w:t>
      </w:r>
      <w:r w:rsidRPr="00BC31E9">
        <w:rPr>
          <w:rFonts w:ascii="Times New Roman" w:hAnsi="Times New Roman" w:cs="Times New Roman"/>
          <w:iCs/>
          <w:sz w:val="24"/>
          <w:szCs w:val="24"/>
        </w:rPr>
        <w:t xml:space="preserve">déclaratives liées à la </w:t>
      </w:r>
      <w:r w:rsidR="00BA1838">
        <w:rPr>
          <w:rFonts w:ascii="Times New Roman" w:hAnsi="Times New Roman" w:cs="Times New Roman"/>
          <w:iCs/>
          <w:sz w:val="24"/>
          <w:szCs w:val="24"/>
        </w:rPr>
        <w:t>« </w:t>
      </w:r>
      <w:r w:rsidRPr="00BC31E9">
        <w:rPr>
          <w:rFonts w:ascii="Times New Roman" w:hAnsi="Times New Roman" w:cs="Times New Roman"/>
          <w:iCs/>
          <w:sz w:val="24"/>
          <w:szCs w:val="24"/>
        </w:rPr>
        <w:t>DAS 2</w:t>
      </w:r>
      <w:r w:rsidR="00BA1838">
        <w:rPr>
          <w:rFonts w:ascii="Times New Roman" w:hAnsi="Times New Roman" w:cs="Times New Roman"/>
          <w:iCs/>
          <w:sz w:val="24"/>
          <w:szCs w:val="24"/>
        </w:rPr>
        <w:t> »</w:t>
      </w:r>
      <w:r w:rsidR="00673703">
        <w:rPr>
          <w:rStyle w:val="Appelnotedebasdep"/>
          <w:rFonts w:ascii="Times New Roman" w:hAnsi="Times New Roman" w:cs="Times New Roman"/>
          <w:iCs/>
          <w:sz w:val="24"/>
          <w:szCs w:val="24"/>
        </w:rPr>
        <w:footnoteReference w:id="2"/>
      </w:r>
      <w:r w:rsidRPr="00BC31E9">
        <w:rPr>
          <w:rFonts w:ascii="Times New Roman" w:hAnsi="Times New Roman" w:cs="Times New Roman"/>
          <w:iCs/>
          <w:sz w:val="24"/>
          <w:szCs w:val="24"/>
        </w:rPr>
        <w:t xml:space="preserve"> et aux frais généraux</w:t>
      </w:r>
      <w:r w:rsidR="00D5628C">
        <w:rPr>
          <w:rFonts w:ascii="Times New Roman" w:hAnsi="Times New Roman" w:cs="Times New Roman"/>
          <w:iCs/>
          <w:sz w:val="24"/>
          <w:szCs w:val="24"/>
        </w:rPr>
        <w:t>,</w:t>
      </w:r>
    </w:p>
    <w:p w14:paraId="1D193645" w14:textId="1C93FBD7" w:rsidR="007B7EDA" w:rsidRPr="007B7EDA" w:rsidRDefault="003C77E2" w:rsidP="00EE7282">
      <w:pPr>
        <w:pStyle w:val="Paragraphedeliste"/>
        <w:numPr>
          <w:ilvl w:val="0"/>
          <w:numId w:val="10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Donner aux TPE </w:t>
      </w:r>
      <w:r w:rsidR="007B7EDA" w:rsidRPr="007B7EDA">
        <w:rPr>
          <w:rFonts w:ascii="Times New Roman" w:hAnsi="Times New Roman" w:cs="Times New Roman"/>
          <w:iCs/>
          <w:sz w:val="24"/>
          <w:szCs w:val="24"/>
        </w:rPr>
        <w:t>des outils pour faciliter l’embauche et la contractualisation</w:t>
      </w:r>
      <w:r w:rsidR="00D5628C">
        <w:rPr>
          <w:rFonts w:ascii="Times New Roman" w:hAnsi="Times New Roman" w:cs="Times New Roman"/>
          <w:iCs/>
          <w:sz w:val="24"/>
          <w:szCs w:val="24"/>
        </w:rPr>
        <w:t>,</w:t>
      </w:r>
    </w:p>
    <w:p w14:paraId="6B43B979" w14:textId="1E5C2F32" w:rsidR="007B7EDA" w:rsidRDefault="007B7EDA" w:rsidP="00EE7282">
      <w:pPr>
        <w:pStyle w:val="Paragraphedeliste"/>
        <w:numPr>
          <w:ilvl w:val="0"/>
          <w:numId w:val="10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7EDA">
        <w:rPr>
          <w:rFonts w:ascii="Times New Roman" w:hAnsi="Times New Roman" w:cs="Times New Roman"/>
          <w:iCs/>
          <w:sz w:val="24"/>
          <w:szCs w:val="24"/>
        </w:rPr>
        <w:t>Faciliter la création de groupements momentanés d’entreprises dans le secteur du bâtiment et des travaux publics</w:t>
      </w:r>
      <w:r w:rsidR="00D5628C">
        <w:rPr>
          <w:rFonts w:ascii="Times New Roman" w:hAnsi="Times New Roman" w:cs="Times New Roman"/>
          <w:iCs/>
          <w:sz w:val="24"/>
          <w:szCs w:val="24"/>
        </w:rPr>
        <w:t>.</w:t>
      </w:r>
    </w:p>
    <w:p w14:paraId="7FD30E0D" w14:textId="77777777" w:rsidR="00165FA5" w:rsidRPr="008A2896" w:rsidRDefault="00165FA5" w:rsidP="00EE7282">
      <w:pPr>
        <w:tabs>
          <w:tab w:val="left" w:pos="3795"/>
        </w:tabs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1EE3D9" w14:textId="230FBF46" w:rsidR="000A3670" w:rsidRPr="00BA1838" w:rsidRDefault="00615CFB" w:rsidP="00EE7282">
      <w:pPr>
        <w:pStyle w:val="Paragraphedeliste"/>
        <w:numPr>
          <w:ilvl w:val="0"/>
          <w:numId w:val="7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1838">
        <w:rPr>
          <w:rFonts w:ascii="Times New Roman" w:hAnsi="Times New Roman" w:cs="Times New Roman"/>
          <w:i/>
          <w:sz w:val="24"/>
          <w:szCs w:val="24"/>
          <w:u w:val="single"/>
        </w:rPr>
        <w:t xml:space="preserve">Simplifier les démarches pour préparer l’économie de demain </w:t>
      </w:r>
    </w:p>
    <w:p w14:paraId="5E7C3536" w14:textId="77777777" w:rsidR="006D543C" w:rsidRDefault="006D543C" w:rsidP="00EE7282">
      <w:pPr>
        <w:tabs>
          <w:tab w:val="left" w:pos="3795"/>
        </w:tabs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La simplification des normes et des démarches doit permettre : </w:t>
      </w:r>
    </w:p>
    <w:p w14:paraId="07385E87" w14:textId="2818ECBC" w:rsidR="006D543C" w:rsidRPr="000F6E77" w:rsidRDefault="006D543C" w:rsidP="00EE7282">
      <w:pPr>
        <w:pStyle w:val="Paragraphedeliste"/>
        <w:numPr>
          <w:ilvl w:val="0"/>
          <w:numId w:val="11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6E77">
        <w:rPr>
          <w:rFonts w:ascii="Times New Roman" w:hAnsi="Times New Roman" w:cs="Times New Roman"/>
          <w:iCs/>
          <w:sz w:val="24"/>
          <w:szCs w:val="24"/>
        </w:rPr>
        <w:t>d’</w:t>
      </w:r>
      <w:r w:rsidR="00523009" w:rsidRPr="000F6E77">
        <w:rPr>
          <w:rFonts w:ascii="Times New Roman" w:hAnsi="Times New Roman" w:cs="Times New Roman"/>
          <w:iCs/>
          <w:sz w:val="24"/>
          <w:szCs w:val="24"/>
        </w:rPr>
        <w:t>accélérer la transition énergétique et écologique de l’économie française</w:t>
      </w:r>
      <w:r w:rsidR="000F6E77" w:rsidRPr="000F6E77">
        <w:rPr>
          <w:rFonts w:ascii="Times New Roman" w:hAnsi="Times New Roman" w:cs="Times New Roman"/>
          <w:iCs/>
          <w:sz w:val="24"/>
          <w:szCs w:val="24"/>
        </w:rPr>
        <w:t xml:space="preserve"> en simplifiant l’installation de dispositifs d’énergie renouvelable, </w:t>
      </w:r>
    </w:p>
    <w:p w14:paraId="2EBFEF57" w14:textId="6409D86C" w:rsidR="003156BE" w:rsidRPr="000F6E77" w:rsidRDefault="006D543C" w:rsidP="00EE7282">
      <w:pPr>
        <w:pStyle w:val="Paragraphedeliste"/>
        <w:numPr>
          <w:ilvl w:val="0"/>
          <w:numId w:val="11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6E77">
        <w:rPr>
          <w:rFonts w:ascii="Times New Roman" w:hAnsi="Times New Roman" w:cs="Times New Roman"/>
          <w:iCs/>
          <w:sz w:val="24"/>
          <w:szCs w:val="24"/>
        </w:rPr>
        <w:t>l’innovation</w:t>
      </w:r>
      <w:r w:rsidR="00E42C5D" w:rsidRPr="000F6E77">
        <w:rPr>
          <w:rFonts w:ascii="Times New Roman" w:hAnsi="Times New Roman" w:cs="Times New Roman"/>
          <w:iCs/>
          <w:sz w:val="24"/>
          <w:szCs w:val="24"/>
        </w:rPr>
        <w:t> </w:t>
      </w:r>
      <w:r w:rsidR="005D505D">
        <w:rPr>
          <w:rFonts w:ascii="Times New Roman" w:hAnsi="Times New Roman" w:cs="Times New Roman"/>
          <w:iCs/>
          <w:sz w:val="24"/>
          <w:szCs w:val="24"/>
        </w:rPr>
        <w:t>en facilitant l’innovation issue de la recherche</w:t>
      </w:r>
      <w:r w:rsidR="00DE013C">
        <w:rPr>
          <w:rFonts w:ascii="Times New Roman" w:hAnsi="Times New Roman" w:cs="Times New Roman"/>
          <w:iCs/>
          <w:sz w:val="24"/>
          <w:szCs w:val="24"/>
        </w:rPr>
        <w:t>,</w:t>
      </w:r>
    </w:p>
    <w:p w14:paraId="2922AAB3" w14:textId="1C01D752" w:rsidR="00E42C5D" w:rsidRPr="000F6E77" w:rsidRDefault="00E42C5D" w:rsidP="00EE7282">
      <w:pPr>
        <w:pStyle w:val="Paragraphedeliste"/>
        <w:numPr>
          <w:ilvl w:val="0"/>
          <w:numId w:val="11"/>
        </w:numPr>
        <w:tabs>
          <w:tab w:val="left" w:pos="3795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6E77">
        <w:rPr>
          <w:rFonts w:ascii="Times New Roman" w:hAnsi="Times New Roman" w:cs="Times New Roman"/>
          <w:iCs/>
          <w:sz w:val="24"/>
          <w:szCs w:val="24"/>
        </w:rPr>
        <w:lastRenderedPageBreak/>
        <w:t>la réindustrialisation</w:t>
      </w:r>
      <w:r w:rsidR="008F14A4" w:rsidRPr="000F6E77">
        <w:rPr>
          <w:rFonts w:ascii="Times New Roman" w:hAnsi="Times New Roman" w:cs="Times New Roman"/>
          <w:iCs/>
          <w:sz w:val="24"/>
          <w:szCs w:val="24"/>
        </w:rPr>
        <w:t> :  la réduction des barrières administratives permettra de produire davantage en France, au bénéfice de l’emploi et du climat.</w:t>
      </w:r>
    </w:p>
    <w:sectPr w:rsidR="00E42C5D" w:rsidRPr="000F6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10A95B" w14:textId="77777777" w:rsidR="007B5F74" w:rsidRDefault="007B5F74" w:rsidP="00FE04B4">
      <w:pPr>
        <w:spacing w:after="0" w:line="240" w:lineRule="auto"/>
      </w:pPr>
      <w:r>
        <w:separator/>
      </w:r>
    </w:p>
  </w:endnote>
  <w:endnote w:type="continuationSeparator" w:id="0">
    <w:p w14:paraId="45ECD9D0" w14:textId="77777777" w:rsidR="007B5F74" w:rsidRDefault="007B5F74" w:rsidP="00FE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venir Next LT Pro Light">
    <w:altName w:val="Arial"/>
    <w:charset w:val="00"/>
    <w:family w:val="swiss"/>
    <w:pitch w:val="variable"/>
    <w:sig w:usb0="00000001" w:usb1="5000204B" w:usb2="00000000" w:usb3="00000000" w:csb0="00000093" w:csb1="00000000"/>
  </w:font>
  <w:font w:name="Times New Roman Gra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06F8B" w14:textId="77777777" w:rsidR="007B5F74" w:rsidRDefault="007B5F74" w:rsidP="00FE04B4">
      <w:pPr>
        <w:spacing w:after="0" w:line="240" w:lineRule="auto"/>
      </w:pPr>
      <w:r>
        <w:separator/>
      </w:r>
    </w:p>
  </w:footnote>
  <w:footnote w:type="continuationSeparator" w:id="0">
    <w:p w14:paraId="2B35979B" w14:textId="77777777" w:rsidR="007B5F74" w:rsidRDefault="007B5F74" w:rsidP="00FE04B4">
      <w:pPr>
        <w:spacing w:after="0" w:line="240" w:lineRule="auto"/>
      </w:pPr>
      <w:r>
        <w:continuationSeparator/>
      </w:r>
    </w:p>
  </w:footnote>
  <w:footnote w:id="1">
    <w:p w14:paraId="217B8D31" w14:textId="2D61617F" w:rsidR="00662F64" w:rsidRDefault="00662F64" w:rsidP="000C7B96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« </w:t>
      </w:r>
      <w:r w:rsidRPr="009945C0">
        <w:rPr>
          <w:rFonts w:ascii="Times New Roman" w:hAnsi="Times New Roman" w:cs="Times New Roman"/>
          <w:b/>
          <w:bCs/>
        </w:rPr>
        <w:t>La sobriété normative pour renforcer la compétitivité des entreprises</w:t>
      </w:r>
      <w:r>
        <w:rPr>
          <w:rFonts w:ascii="Times New Roman" w:hAnsi="Times New Roman" w:cs="Times New Roman"/>
          <w:b/>
          <w:bCs/>
        </w:rPr>
        <w:t xml:space="preserve"> », </w:t>
      </w:r>
      <w:r w:rsidRPr="009945C0">
        <w:rPr>
          <w:rFonts w:ascii="Times New Roman" w:hAnsi="Times New Roman" w:cs="Times New Roman"/>
        </w:rPr>
        <w:t>Rapport d'information n° 743 (2022-2023), déposé</w:t>
      </w:r>
      <w:r>
        <w:rPr>
          <w:rFonts w:ascii="Times New Roman" w:hAnsi="Times New Roman" w:cs="Times New Roman"/>
        </w:rPr>
        <w:t xml:space="preserve"> au Sénat</w:t>
      </w:r>
      <w:r w:rsidRPr="009945C0">
        <w:rPr>
          <w:rFonts w:ascii="Times New Roman" w:hAnsi="Times New Roman" w:cs="Times New Roman"/>
        </w:rPr>
        <w:t xml:space="preserve"> le 15 juin 2023</w:t>
      </w:r>
      <w:r>
        <w:rPr>
          <w:rFonts w:ascii="Times New Roman" w:hAnsi="Times New Roman" w:cs="Times New Roman"/>
        </w:rPr>
        <w:t>.</w:t>
      </w:r>
    </w:p>
  </w:footnote>
  <w:footnote w:id="2">
    <w:p w14:paraId="358E47C3" w14:textId="1000DAF0" w:rsidR="00673703" w:rsidRDefault="00673703" w:rsidP="00673703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673703">
        <w:rPr>
          <w:rFonts w:ascii="Times New Roman" w:hAnsi="Times New Roman" w:cs="Times New Roman"/>
        </w:rPr>
        <w:t>La DAS 2 est une déclaration obligatoire à transmettre aux services fiscaux par tout professionnel (personne physique ou société) versant des honoraires, des commissions, des remises commerciales, des droits d’auteurs ou d’inventeurs (brevets) de plus de 1.200 euros à des tiers.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56C6"/>
    <w:multiLevelType w:val="multilevel"/>
    <w:tmpl w:val="88F6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77100"/>
    <w:multiLevelType w:val="hybridMultilevel"/>
    <w:tmpl w:val="AF3E6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965DF"/>
    <w:multiLevelType w:val="hybridMultilevel"/>
    <w:tmpl w:val="CE8A05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04765"/>
    <w:multiLevelType w:val="hybridMultilevel"/>
    <w:tmpl w:val="718C8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2D1F"/>
    <w:multiLevelType w:val="hybridMultilevel"/>
    <w:tmpl w:val="DC9259CC"/>
    <w:lvl w:ilvl="0" w:tplc="967A3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D7758"/>
    <w:multiLevelType w:val="hybridMultilevel"/>
    <w:tmpl w:val="2F3A4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E5B34"/>
    <w:multiLevelType w:val="hybridMultilevel"/>
    <w:tmpl w:val="303273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6C27"/>
    <w:multiLevelType w:val="hybridMultilevel"/>
    <w:tmpl w:val="17FC73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B00F7"/>
    <w:multiLevelType w:val="hybridMultilevel"/>
    <w:tmpl w:val="601A3E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22D1A"/>
    <w:multiLevelType w:val="hybridMultilevel"/>
    <w:tmpl w:val="07827C8A"/>
    <w:lvl w:ilvl="0" w:tplc="5C3CF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70770"/>
    <w:multiLevelType w:val="hybridMultilevel"/>
    <w:tmpl w:val="453C7B92"/>
    <w:lvl w:ilvl="0" w:tplc="8B6C57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F1"/>
    <w:rsid w:val="00001AE6"/>
    <w:rsid w:val="00005FC2"/>
    <w:rsid w:val="000958BB"/>
    <w:rsid w:val="000A21E6"/>
    <w:rsid w:val="000A3670"/>
    <w:rsid w:val="000C38AF"/>
    <w:rsid w:val="000C6D76"/>
    <w:rsid w:val="000C7B96"/>
    <w:rsid w:val="000D1076"/>
    <w:rsid w:val="000D5915"/>
    <w:rsid w:val="000F6E77"/>
    <w:rsid w:val="001054FB"/>
    <w:rsid w:val="00164A61"/>
    <w:rsid w:val="00165FA5"/>
    <w:rsid w:val="00195FEB"/>
    <w:rsid w:val="0020044F"/>
    <w:rsid w:val="002256BB"/>
    <w:rsid w:val="00231744"/>
    <w:rsid w:val="00233B4B"/>
    <w:rsid w:val="0026043A"/>
    <w:rsid w:val="00272848"/>
    <w:rsid w:val="00280218"/>
    <w:rsid w:val="00285BC0"/>
    <w:rsid w:val="002A228A"/>
    <w:rsid w:val="002A5A5C"/>
    <w:rsid w:val="002C3EC1"/>
    <w:rsid w:val="002C53F6"/>
    <w:rsid w:val="002D7DDD"/>
    <w:rsid w:val="002E3080"/>
    <w:rsid w:val="002E32A3"/>
    <w:rsid w:val="003156BE"/>
    <w:rsid w:val="00327733"/>
    <w:rsid w:val="00334DCB"/>
    <w:rsid w:val="00355101"/>
    <w:rsid w:val="00366BBA"/>
    <w:rsid w:val="003B3436"/>
    <w:rsid w:val="003C77E2"/>
    <w:rsid w:val="003D61B7"/>
    <w:rsid w:val="003E0BD7"/>
    <w:rsid w:val="003E2796"/>
    <w:rsid w:val="00416A57"/>
    <w:rsid w:val="00445075"/>
    <w:rsid w:val="00447FF1"/>
    <w:rsid w:val="00466819"/>
    <w:rsid w:val="004A07EA"/>
    <w:rsid w:val="004C7991"/>
    <w:rsid w:val="004D3C60"/>
    <w:rsid w:val="004E49B6"/>
    <w:rsid w:val="00523009"/>
    <w:rsid w:val="00540496"/>
    <w:rsid w:val="00547DE0"/>
    <w:rsid w:val="00551CE3"/>
    <w:rsid w:val="005D505D"/>
    <w:rsid w:val="00604E3F"/>
    <w:rsid w:val="00615CFB"/>
    <w:rsid w:val="0066005F"/>
    <w:rsid w:val="00662F64"/>
    <w:rsid w:val="00673703"/>
    <w:rsid w:val="006B12AE"/>
    <w:rsid w:val="006B56D7"/>
    <w:rsid w:val="006C7AB7"/>
    <w:rsid w:val="006D543C"/>
    <w:rsid w:val="006F7CC8"/>
    <w:rsid w:val="00750396"/>
    <w:rsid w:val="0076203F"/>
    <w:rsid w:val="007B5E1C"/>
    <w:rsid w:val="007B5F74"/>
    <w:rsid w:val="007B7EDA"/>
    <w:rsid w:val="007D7B31"/>
    <w:rsid w:val="00830515"/>
    <w:rsid w:val="00865F1D"/>
    <w:rsid w:val="00895B0E"/>
    <w:rsid w:val="008A2896"/>
    <w:rsid w:val="008C1E08"/>
    <w:rsid w:val="008F14A4"/>
    <w:rsid w:val="00905F1A"/>
    <w:rsid w:val="009171BA"/>
    <w:rsid w:val="00941900"/>
    <w:rsid w:val="00952261"/>
    <w:rsid w:val="00964F44"/>
    <w:rsid w:val="00984915"/>
    <w:rsid w:val="009945C0"/>
    <w:rsid w:val="0099652E"/>
    <w:rsid w:val="00A20155"/>
    <w:rsid w:val="00A3613B"/>
    <w:rsid w:val="00A444A3"/>
    <w:rsid w:val="00A51045"/>
    <w:rsid w:val="00A630E8"/>
    <w:rsid w:val="00AC7952"/>
    <w:rsid w:val="00AD0DE0"/>
    <w:rsid w:val="00AD141F"/>
    <w:rsid w:val="00AF2E75"/>
    <w:rsid w:val="00B4155A"/>
    <w:rsid w:val="00B41D95"/>
    <w:rsid w:val="00B614E6"/>
    <w:rsid w:val="00B73AD2"/>
    <w:rsid w:val="00B8212A"/>
    <w:rsid w:val="00BA0837"/>
    <w:rsid w:val="00BA1838"/>
    <w:rsid w:val="00BB406A"/>
    <w:rsid w:val="00BC31E9"/>
    <w:rsid w:val="00BC6653"/>
    <w:rsid w:val="00C07228"/>
    <w:rsid w:val="00C124C9"/>
    <w:rsid w:val="00C15B5D"/>
    <w:rsid w:val="00C53941"/>
    <w:rsid w:val="00C871B2"/>
    <w:rsid w:val="00CA1AA2"/>
    <w:rsid w:val="00D0627B"/>
    <w:rsid w:val="00D22830"/>
    <w:rsid w:val="00D3197A"/>
    <w:rsid w:val="00D32AB8"/>
    <w:rsid w:val="00D33F5E"/>
    <w:rsid w:val="00D366BC"/>
    <w:rsid w:val="00D428B9"/>
    <w:rsid w:val="00D431D4"/>
    <w:rsid w:val="00D5628C"/>
    <w:rsid w:val="00DE013C"/>
    <w:rsid w:val="00E25CFB"/>
    <w:rsid w:val="00E42C5D"/>
    <w:rsid w:val="00E45756"/>
    <w:rsid w:val="00E47AE0"/>
    <w:rsid w:val="00E60579"/>
    <w:rsid w:val="00E64E46"/>
    <w:rsid w:val="00E86147"/>
    <w:rsid w:val="00E9043A"/>
    <w:rsid w:val="00EA2CED"/>
    <w:rsid w:val="00EA3CA7"/>
    <w:rsid w:val="00EE7282"/>
    <w:rsid w:val="00EF6ADB"/>
    <w:rsid w:val="00F56061"/>
    <w:rsid w:val="00F6217D"/>
    <w:rsid w:val="00F837F3"/>
    <w:rsid w:val="00F958C3"/>
    <w:rsid w:val="00FE04B4"/>
    <w:rsid w:val="00FE757E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E2E2"/>
  <w15:chartTrackingRefBased/>
  <w15:docId w15:val="{6579C362-2882-4183-BB14-FA94A29BC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47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7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7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7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7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7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7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7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7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7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447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47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47F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7F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7F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47F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47F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47F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47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47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7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47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47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47F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47FF1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447F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47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47F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47FF1"/>
    <w:rPr>
      <w:b/>
      <w:bCs/>
      <w:smallCaps/>
      <w:color w:val="0F4761" w:themeColor="accent1" w:themeShade="BF"/>
      <w:spacing w:val="5"/>
    </w:rPr>
  </w:style>
  <w:style w:type="character" w:styleId="Accentuation">
    <w:name w:val="Emphasis"/>
    <w:basedOn w:val="Policepardfaut"/>
    <w:uiPriority w:val="20"/>
    <w:qFormat/>
    <w:rsid w:val="00447FF1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04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04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04B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E04B4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E04B4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CD61-7CA9-46EB-9125-1105B5BE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Union</dc:creator>
  <cp:keywords/>
  <dc:description/>
  <cp:lastModifiedBy>Compte Microsoft</cp:lastModifiedBy>
  <cp:revision>2</cp:revision>
  <dcterms:created xsi:type="dcterms:W3CDTF">2024-04-24T15:34:00Z</dcterms:created>
  <dcterms:modified xsi:type="dcterms:W3CDTF">2024-04-24T15:34:00Z</dcterms:modified>
</cp:coreProperties>
</file>