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167B" w14:textId="77777777" w:rsidR="00E325A0" w:rsidRDefault="00993BF2" w:rsidP="00E325A0">
      <w:pPr>
        <w:jc w:val="center"/>
        <w:rPr>
          <w:noProof/>
        </w:rPr>
      </w:pPr>
      <w:r>
        <w:rPr>
          <w:noProof/>
        </w:rPr>
        <w:drawing>
          <wp:anchor distT="0" distB="0" distL="114300" distR="114300" simplePos="0" relativeHeight="251658240" behindDoc="0" locked="0" layoutInCell="1" allowOverlap="1" wp14:anchorId="1F4CA348" wp14:editId="5A20C424">
            <wp:simplePos x="0" y="0"/>
            <wp:positionH relativeFrom="margin">
              <wp:align>center</wp:align>
            </wp:positionH>
            <wp:positionV relativeFrom="paragraph">
              <wp:posOffset>124333</wp:posOffset>
            </wp:positionV>
            <wp:extent cx="5800954" cy="7439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a:extLst>
                        <a:ext uri="{28A0092B-C50C-407E-A947-70E740481C1C}">
                          <a14:useLocalDpi xmlns:a14="http://schemas.microsoft.com/office/drawing/2010/main" val="0"/>
                        </a:ext>
                      </a:extLst>
                    </a:blip>
                    <a:srcRect t="22349" b="54850"/>
                    <a:stretch/>
                  </pic:blipFill>
                  <pic:spPr bwMode="auto">
                    <a:xfrm>
                      <a:off x="0" y="0"/>
                      <a:ext cx="5800954" cy="74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D9653F" w14:textId="77777777" w:rsidR="00E06321" w:rsidRDefault="00E06321" w:rsidP="00E325A0">
      <w:pPr>
        <w:jc w:val="center"/>
        <w:rPr>
          <w:noProof/>
        </w:rPr>
      </w:pPr>
    </w:p>
    <w:p w14:paraId="5D0DDF54" w14:textId="77777777" w:rsidR="00E06321" w:rsidRDefault="00E06321" w:rsidP="00E325A0">
      <w:pPr>
        <w:jc w:val="center"/>
        <w:rPr>
          <w:noProof/>
        </w:rPr>
      </w:pPr>
    </w:p>
    <w:p w14:paraId="783D7141" w14:textId="77777777" w:rsidR="00E06321" w:rsidRDefault="00E06321" w:rsidP="00993BF2">
      <w:pPr>
        <w:ind w:left="567" w:right="425"/>
        <w:jc w:val="center"/>
        <w:rPr>
          <w:noProof/>
        </w:rPr>
      </w:pPr>
    </w:p>
    <w:p w14:paraId="682EBF59" w14:textId="77777777" w:rsidR="00280B23" w:rsidRDefault="00280B23" w:rsidP="00280B23">
      <w:pPr>
        <w:pBdr>
          <w:top w:val="single" w:sz="4" w:space="0" w:color="002060"/>
          <w:left w:val="single" w:sz="4" w:space="4" w:color="002060"/>
          <w:bottom w:val="single" w:sz="4" w:space="1" w:color="002060"/>
          <w:right w:val="single" w:sz="4" w:space="4" w:color="002060"/>
        </w:pBdr>
        <w:spacing w:after="0" w:line="240" w:lineRule="auto"/>
        <w:jc w:val="center"/>
        <w:rPr>
          <w:rFonts w:ascii="Avenir Next LT Pro Light" w:hAnsi="Avenir Next LT Pro Light"/>
          <w:b/>
          <w:smallCaps/>
          <w:color w:val="002060"/>
          <w:sz w:val="28"/>
          <w:szCs w:val="28"/>
        </w:rPr>
      </w:pPr>
    </w:p>
    <w:p w14:paraId="646FB988" w14:textId="377A6729" w:rsidR="00280B23" w:rsidRPr="00ED2C21" w:rsidRDefault="0064621C" w:rsidP="00280B23">
      <w:pPr>
        <w:pBdr>
          <w:top w:val="single" w:sz="4" w:space="0" w:color="002060"/>
          <w:left w:val="single" w:sz="4" w:space="4" w:color="002060"/>
          <w:bottom w:val="single" w:sz="4" w:space="1" w:color="002060"/>
          <w:right w:val="single" w:sz="4" w:space="4" w:color="002060"/>
        </w:pBdr>
        <w:spacing w:after="0" w:line="240" w:lineRule="auto"/>
        <w:jc w:val="center"/>
        <w:rPr>
          <w:rFonts w:ascii="Avenir Next LT Pro Light" w:hAnsi="Avenir Next LT Pro Light"/>
          <w:b/>
          <w:smallCaps/>
          <w:color w:val="002060"/>
          <w:sz w:val="28"/>
          <w:szCs w:val="28"/>
        </w:rPr>
      </w:pPr>
      <w:r w:rsidRPr="0064621C">
        <w:rPr>
          <w:rFonts w:ascii="Avenir Next LT Pro Light" w:hAnsi="Avenir Next LT Pro Light"/>
          <w:b/>
          <w:smallCaps/>
          <w:color w:val="002060"/>
          <w:sz w:val="28"/>
          <w:szCs w:val="28"/>
        </w:rPr>
        <w:t>L'article 49, alinéa 3</w:t>
      </w:r>
      <w:r>
        <w:rPr>
          <w:rFonts w:ascii="Avenir Next LT Pro Light" w:hAnsi="Avenir Next LT Pro Light"/>
          <w:b/>
          <w:smallCaps/>
          <w:color w:val="002060"/>
          <w:sz w:val="28"/>
          <w:szCs w:val="28"/>
        </w:rPr>
        <w:t xml:space="preserve"> de la Constitution :</w:t>
      </w:r>
      <w:r w:rsidRPr="0064621C">
        <w:rPr>
          <w:rFonts w:ascii="Avenir Next LT Pro Light" w:hAnsi="Avenir Next LT Pro Light"/>
          <w:b/>
          <w:smallCaps/>
          <w:color w:val="002060"/>
          <w:sz w:val="28"/>
          <w:szCs w:val="28"/>
        </w:rPr>
        <w:t xml:space="preserve"> engagement de la responsabilité du gouvernement sur le vote d'un texte</w:t>
      </w:r>
    </w:p>
    <w:p w14:paraId="2D2D8E71" w14:textId="77777777" w:rsidR="00280B23" w:rsidRPr="00ED2C21" w:rsidRDefault="00280B23" w:rsidP="00280B23">
      <w:pPr>
        <w:pBdr>
          <w:top w:val="single" w:sz="4" w:space="0" w:color="002060"/>
          <w:left w:val="single" w:sz="4" w:space="4" w:color="002060"/>
          <w:bottom w:val="single" w:sz="4" w:space="1" w:color="002060"/>
          <w:right w:val="single" w:sz="4" w:space="4" w:color="002060"/>
        </w:pBdr>
        <w:spacing w:after="0" w:line="240" w:lineRule="auto"/>
        <w:jc w:val="center"/>
        <w:rPr>
          <w:rFonts w:ascii="Avenir Next LT Pro Light" w:hAnsi="Avenir Next LT Pro Light"/>
          <w:b/>
          <w:smallCaps/>
          <w:color w:val="002060"/>
          <w:sz w:val="28"/>
          <w:szCs w:val="28"/>
        </w:rPr>
      </w:pPr>
    </w:p>
    <w:p w14:paraId="47BE5E71" w14:textId="77777777" w:rsidR="00280B23" w:rsidRDefault="00280B23" w:rsidP="00280B23">
      <w:pPr>
        <w:pBdr>
          <w:top w:val="single" w:sz="4" w:space="0" w:color="002060"/>
          <w:left w:val="single" w:sz="4" w:space="4" w:color="002060"/>
          <w:bottom w:val="single" w:sz="4" w:space="1" w:color="002060"/>
          <w:right w:val="single" w:sz="4" w:space="4" w:color="002060"/>
        </w:pBdr>
        <w:spacing w:after="0" w:line="240" w:lineRule="auto"/>
        <w:jc w:val="center"/>
        <w:rPr>
          <w:rFonts w:ascii="Avenir Next LT Pro Light" w:hAnsi="Avenir Next LT Pro Light"/>
          <w:bCs/>
          <w:i/>
          <w:iCs/>
          <w:color w:val="002060"/>
          <w:sz w:val="28"/>
          <w:szCs w:val="28"/>
        </w:rPr>
      </w:pPr>
      <w:r w:rsidRPr="00ED2C21">
        <w:rPr>
          <w:rFonts w:ascii="Avenir Next LT Pro Light" w:hAnsi="Avenir Next LT Pro Light"/>
          <w:bCs/>
          <w:i/>
          <w:iCs/>
          <w:color w:val="002060"/>
          <w:sz w:val="28"/>
          <w:szCs w:val="28"/>
        </w:rPr>
        <w:t>Note</w:t>
      </w:r>
    </w:p>
    <w:p w14:paraId="6D39E346" w14:textId="77777777" w:rsidR="00280B23" w:rsidRPr="00ED2C21" w:rsidRDefault="00280B23" w:rsidP="00280B23">
      <w:pPr>
        <w:pBdr>
          <w:top w:val="single" w:sz="4" w:space="0" w:color="002060"/>
          <w:left w:val="single" w:sz="4" w:space="4" w:color="002060"/>
          <w:bottom w:val="single" w:sz="4" w:space="1" w:color="002060"/>
          <w:right w:val="single" w:sz="4" w:space="4" w:color="002060"/>
        </w:pBdr>
        <w:spacing w:after="0" w:line="240" w:lineRule="auto"/>
        <w:jc w:val="center"/>
        <w:rPr>
          <w:rFonts w:ascii="Avenir Next LT Pro Light" w:hAnsi="Avenir Next LT Pro Light"/>
          <w:bCs/>
          <w:i/>
          <w:iCs/>
          <w:color w:val="002060"/>
          <w:sz w:val="28"/>
          <w:szCs w:val="28"/>
        </w:rPr>
      </w:pPr>
    </w:p>
    <w:p w14:paraId="60D0E68B" w14:textId="41D08346" w:rsidR="00280B23" w:rsidRDefault="00280B23" w:rsidP="00280B23">
      <w:pPr>
        <w:ind w:right="141"/>
        <w:jc w:val="both"/>
        <w:rPr>
          <w:rFonts w:ascii="Times New Roman" w:hAnsi="Times New Roman" w:cs="Times New Roman"/>
          <w:sz w:val="24"/>
          <w:szCs w:val="24"/>
        </w:rPr>
      </w:pPr>
    </w:p>
    <w:p w14:paraId="7748F742" w14:textId="45428F38" w:rsidR="00F43F0A" w:rsidRDefault="00F43F0A" w:rsidP="00280B23">
      <w:pPr>
        <w:ind w:right="141"/>
        <w:jc w:val="both"/>
        <w:rPr>
          <w:rFonts w:ascii="Times New Roman" w:hAnsi="Times New Roman" w:cs="Times New Roman"/>
          <w:sz w:val="24"/>
          <w:szCs w:val="24"/>
        </w:rPr>
      </w:pPr>
    </w:p>
    <w:p w14:paraId="35CE6017" w14:textId="77777777" w:rsidR="00F43F0A" w:rsidRDefault="00F43F0A" w:rsidP="00280B23">
      <w:pPr>
        <w:ind w:right="141"/>
        <w:jc w:val="both"/>
        <w:rPr>
          <w:rFonts w:ascii="Times New Roman" w:hAnsi="Times New Roman" w:cs="Times New Roman"/>
          <w:sz w:val="24"/>
          <w:szCs w:val="24"/>
        </w:rPr>
      </w:pPr>
    </w:p>
    <w:p w14:paraId="489FE0AE" w14:textId="324D9A0C" w:rsidR="0064621C" w:rsidRPr="00AC6712" w:rsidRDefault="0064621C" w:rsidP="00F43F0A">
      <w:pPr>
        <w:pStyle w:val="Paragraphedeliste"/>
        <w:numPr>
          <w:ilvl w:val="0"/>
          <w:numId w:val="6"/>
        </w:numPr>
        <w:pBdr>
          <w:bottom w:val="single" w:sz="4" w:space="1" w:color="auto"/>
        </w:pBdr>
        <w:spacing w:after="120"/>
        <w:ind w:right="141"/>
        <w:contextualSpacing w:val="0"/>
        <w:jc w:val="both"/>
        <w:rPr>
          <w:b/>
          <w:bCs/>
          <w:szCs w:val="24"/>
        </w:rPr>
      </w:pPr>
      <w:r w:rsidRPr="00AC6712">
        <w:rPr>
          <w:b/>
          <w:bCs/>
          <w:szCs w:val="24"/>
        </w:rPr>
        <w:t>La procédure</w:t>
      </w:r>
      <w:r w:rsidR="00AC6712" w:rsidRPr="00AC6712">
        <w:rPr>
          <w:b/>
          <w:bCs/>
          <w:szCs w:val="24"/>
        </w:rPr>
        <w:t xml:space="preserve"> à l’Assemblée nationale</w:t>
      </w:r>
    </w:p>
    <w:p w14:paraId="387B5944" w14:textId="11B2650D" w:rsidR="0064621C" w:rsidRPr="00AC6712" w:rsidRDefault="0064621C" w:rsidP="00AC6712">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La mise en cause de la responsabilité du Gouvernement peut résulter de la conjugaison de deux initiatives : celle du Premier ministre d’engager cette responsabilité devant l’Assemblée nationale sur le vote d’un projet ou d’une proposition de loi en discussion devant elle, suivie de celle des députés de riposter par le dépôt d’une motion de censure.</w:t>
      </w:r>
    </w:p>
    <w:p w14:paraId="0F4F6422" w14:textId="77777777" w:rsidR="0064621C" w:rsidRPr="00AC6712" w:rsidRDefault="0064621C" w:rsidP="00AC6712">
      <w:pPr>
        <w:shd w:val="clear" w:color="auto" w:fill="FFFFFF"/>
        <w:spacing w:after="120" w:line="240" w:lineRule="auto"/>
        <w:jc w:val="both"/>
        <w:rPr>
          <w:rFonts w:ascii="Times New Roman" w:hAnsi="Times New Roman" w:cs="Times New Roman"/>
          <w:sz w:val="24"/>
          <w:szCs w:val="24"/>
        </w:rPr>
      </w:pPr>
      <w:r w:rsidRPr="00AC6712">
        <w:rPr>
          <w:rFonts w:ascii="Times New Roman" w:hAnsi="Times New Roman" w:cs="Times New Roman"/>
          <w:b/>
          <w:bCs/>
          <w:sz w:val="24"/>
          <w:szCs w:val="24"/>
          <w:u w:val="single"/>
        </w:rPr>
        <w:t xml:space="preserve">NB : </w:t>
      </w:r>
      <w:r w:rsidRPr="0064621C">
        <w:rPr>
          <w:rFonts w:ascii="Times New Roman" w:hAnsi="Times New Roman" w:cs="Times New Roman"/>
          <w:i/>
          <w:iCs/>
          <w:sz w:val="24"/>
          <w:szCs w:val="24"/>
        </w:rPr>
        <w:t xml:space="preserve">Cette procédure </w:t>
      </w:r>
      <w:r w:rsidRPr="0064621C">
        <w:rPr>
          <w:rFonts w:ascii="Times New Roman" w:hAnsi="Times New Roman" w:cs="Times New Roman"/>
          <w:b/>
          <w:bCs/>
          <w:i/>
          <w:iCs/>
          <w:sz w:val="24"/>
          <w:szCs w:val="24"/>
        </w:rPr>
        <w:t>ne peut pas être mise en œuvre devant le</w:t>
      </w:r>
      <w:r w:rsidRPr="00AC6712">
        <w:rPr>
          <w:rFonts w:ascii="Times New Roman" w:hAnsi="Times New Roman" w:cs="Times New Roman"/>
          <w:b/>
          <w:bCs/>
          <w:i/>
          <w:iCs/>
          <w:sz w:val="24"/>
          <w:szCs w:val="24"/>
        </w:rPr>
        <w:t xml:space="preserve"> </w:t>
      </w:r>
      <w:r w:rsidRPr="0064621C">
        <w:rPr>
          <w:rFonts w:ascii="Times New Roman" w:hAnsi="Times New Roman" w:cs="Times New Roman"/>
          <w:b/>
          <w:bCs/>
          <w:i/>
          <w:iCs/>
          <w:sz w:val="24"/>
          <w:szCs w:val="24"/>
        </w:rPr>
        <w:t>Sénat</w:t>
      </w:r>
      <w:r w:rsidRPr="0064621C">
        <w:rPr>
          <w:rFonts w:ascii="Times New Roman" w:hAnsi="Times New Roman" w:cs="Times New Roman"/>
          <w:i/>
          <w:iCs/>
          <w:sz w:val="24"/>
          <w:szCs w:val="24"/>
        </w:rPr>
        <w:t>, le Gouvernement n’étant pas responsable devant cette assemblée.</w:t>
      </w:r>
    </w:p>
    <w:p w14:paraId="6F1C4850" w14:textId="77777777" w:rsidR="0064621C" w:rsidRPr="00AC6712" w:rsidRDefault="0064621C" w:rsidP="00AC6712">
      <w:pPr>
        <w:spacing w:after="120" w:line="240" w:lineRule="auto"/>
        <w:ind w:right="141"/>
        <w:jc w:val="both"/>
        <w:rPr>
          <w:rFonts w:ascii="Times New Roman" w:hAnsi="Times New Roman" w:cs="Times New Roman"/>
          <w:sz w:val="24"/>
          <w:szCs w:val="24"/>
        </w:rPr>
      </w:pPr>
    </w:p>
    <w:p w14:paraId="138CF018" w14:textId="2C9BC78F" w:rsidR="0064621C" w:rsidRPr="00AC6712" w:rsidRDefault="0064621C" w:rsidP="00AC6712">
      <w:pPr>
        <w:spacing w:after="120" w:line="240" w:lineRule="auto"/>
        <w:ind w:right="141"/>
        <w:jc w:val="both"/>
        <w:rPr>
          <w:rFonts w:ascii="Times New Roman" w:hAnsi="Times New Roman" w:cs="Times New Roman"/>
          <w:b/>
          <w:bCs/>
          <w:sz w:val="24"/>
          <w:szCs w:val="24"/>
        </w:rPr>
      </w:pPr>
      <w:r w:rsidRPr="00AC6712">
        <w:rPr>
          <w:rFonts w:ascii="Times New Roman" w:hAnsi="Times New Roman" w:cs="Times New Roman"/>
          <w:sz w:val="24"/>
          <w:szCs w:val="24"/>
        </w:rPr>
        <w:t xml:space="preserve">Le Premier ministre peut engager la responsabilité du Gouvernement </w:t>
      </w:r>
      <w:r w:rsidRPr="00AC6712">
        <w:rPr>
          <w:rFonts w:ascii="Times New Roman" w:hAnsi="Times New Roman" w:cs="Times New Roman"/>
          <w:b/>
          <w:bCs/>
          <w:sz w:val="24"/>
          <w:szCs w:val="24"/>
        </w:rPr>
        <w:t>sur le vote d’un projet de loi de finances</w:t>
      </w:r>
      <w:r w:rsidR="00AC6712">
        <w:rPr>
          <w:rFonts w:ascii="Times New Roman" w:hAnsi="Times New Roman" w:cs="Times New Roman"/>
          <w:b/>
          <w:bCs/>
          <w:sz w:val="24"/>
          <w:szCs w:val="24"/>
        </w:rPr>
        <w:t xml:space="preserve"> (PLF)</w:t>
      </w:r>
      <w:r w:rsidRPr="00AC6712">
        <w:rPr>
          <w:rFonts w:ascii="Times New Roman" w:hAnsi="Times New Roman" w:cs="Times New Roman"/>
          <w:b/>
          <w:bCs/>
          <w:sz w:val="24"/>
          <w:szCs w:val="24"/>
        </w:rPr>
        <w:t xml:space="preserve"> ou de financement de la sécurité sociale</w:t>
      </w:r>
      <w:r w:rsidR="00AC6712">
        <w:rPr>
          <w:rFonts w:ascii="Times New Roman" w:hAnsi="Times New Roman" w:cs="Times New Roman"/>
          <w:b/>
          <w:bCs/>
          <w:sz w:val="24"/>
          <w:szCs w:val="24"/>
        </w:rPr>
        <w:t xml:space="preserve"> (PLFSS)</w:t>
      </w:r>
      <w:r w:rsidRPr="00AC6712">
        <w:rPr>
          <w:rFonts w:ascii="Times New Roman" w:hAnsi="Times New Roman" w:cs="Times New Roman"/>
          <w:b/>
          <w:bCs/>
          <w:sz w:val="24"/>
          <w:szCs w:val="24"/>
        </w:rPr>
        <w:t xml:space="preserve">. </w:t>
      </w:r>
    </w:p>
    <w:p w14:paraId="7C15F5E7" w14:textId="02D31D31" w:rsidR="0064621C" w:rsidRPr="00AC6712" w:rsidRDefault="0064621C" w:rsidP="00AC6712">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 xml:space="preserve">Il peut, en outre, recourir à cette procédure pour </w:t>
      </w:r>
      <w:r w:rsidRPr="00AC6712">
        <w:rPr>
          <w:rFonts w:ascii="Times New Roman" w:hAnsi="Times New Roman" w:cs="Times New Roman"/>
          <w:b/>
          <w:bCs/>
          <w:sz w:val="24"/>
          <w:szCs w:val="24"/>
          <w:u w:val="single"/>
        </w:rPr>
        <w:t>un autre projet ou proposition de loi</w:t>
      </w:r>
      <w:r w:rsidRPr="00AC6712">
        <w:rPr>
          <w:rFonts w:ascii="Times New Roman" w:hAnsi="Times New Roman" w:cs="Times New Roman"/>
          <w:b/>
          <w:bCs/>
          <w:sz w:val="24"/>
          <w:szCs w:val="24"/>
        </w:rPr>
        <w:t xml:space="preserve"> par session, ordinaire ou extraordinaire</w:t>
      </w:r>
      <w:r w:rsidRPr="00AC6712">
        <w:rPr>
          <w:rFonts w:ascii="Times New Roman" w:hAnsi="Times New Roman" w:cs="Times New Roman"/>
          <w:sz w:val="24"/>
          <w:szCs w:val="24"/>
        </w:rPr>
        <w:t>. Cette limitation résulte de la révision constitutionnelle du 23 juillet 2008 : auparavant, le Gouvernement pouvait y recourir autant de fois qu’il l’estimait nécessaire et quelle que soit la nature du texte.</w:t>
      </w:r>
    </w:p>
    <w:p w14:paraId="72EA775E" w14:textId="53DF26B6" w:rsidR="00AC6712" w:rsidRPr="00AC6712" w:rsidRDefault="00AC6712" w:rsidP="00AC6712">
      <w:pPr>
        <w:spacing w:after="120" w:line="240" w:lineRule="auto"/>
        <w:ind w:right="141"/>
        <w:jc w:val="both"/>
        <w:rPr>
          <w:rFonts w:ascii="Times New Roman" w:hAnsi="Times New Roman" w:cs="Times New Roman"/>
          <w:b/>
          <w:bCs/>
          <w:sz w:val="24"/>
          <w:szCs w:val="24"/>
        </w:rPr>
      </w:pPr>
      <w:r w:rsidRPr="00AC6712">
        <w:rPr>
          <w:rFonts w:ascii="Times New Roman" w:hAnsi="Times New Roman" w:cs="Times New Roman"/>
          <w:sz w:val="24"/>
          <w:szCs w:val="24"/>
        </w:rPr>
        <w:t xml:space="preserve">Le Gouvernement demande alors à l’AN de se prononcer par </w:t>
      </w:r>
      <w:r w:rsidRPr="00AC6712">
        <w:rPr>
          <w:rFonts w:ascii="Times New Roman" w:hAnsi="Times New Roman" w:cs="Times New Roman"/>
          <w:b/>
          <w:bCs/>
          <w:sz w:val="24"/>
          <w:szCs w:val="24"/>
        </w:rPr>
        <w:t>un seul vote sur tout le texte</w:t>
      </w:r>
      <w:r w:rsidRPr="00AC6712">
        <w:rPr>
          <w:rFonts w:ascii="Times New Roman" w:hAnsi="Times New Roman" w:cs="Times New Roman"/>
          <w:sz w:val="24"/>
          <w:szCs w:val="24"/>
        </w:rPr>
        <w:t xml:space="preserve"> en discussion, </w:t>
      </w:r>
      <w:r w:rsidRPr="00AC6712">
        <w:rPr>
          <w:rFonts w:ascii="Times New Roman" w:hAnsi="Times New Roman" w:cs="Times New Roman"/>
          <w:b/>
          <w:bCs/>
          <w:sz w:val="24"/>
          <w:szCs w:val="24"/>
        </w:rPr>
        <w:t>en ne retenant que les amendements proposés ou acceptés par lui.</w:t>
      </w:r>
    </w:p>
    <w:p w14:paraId="0EA53E15" w14:textId="77777777" w:rsidR="00AC6712" w:rsidRDefault="0064621C" w:rsidP="00AC6712">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 xml:space="preserve">La décision du Premier ministre entraîne la suspension immédiate, pour 24 heures, de la discussion du projet de loi sur le vote duquel la responsabilité du Gouvernement est engagée. </w:t>
      </w:r>
    </w:p>
    <w:p w14:paraId="41CE945C" w14:textId="58FDA94A" w:rsidR="0064621C" w:rsidRPr="00AC6712" w:rsidRDefault="0064621C" w:rsidP="00AC6712">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 xml:space="preserve">Au cours de ce délai, une </w:t>
      </w:r>
      <w:r w:rsidRPr="00AC6712">
        <w:rPr>
          <w:rFonts w:ascii="Times New Roman" w:hAnsi="Times New Roman" w:cs="Times New Roman"/>
          <w:b/>
          <w:bCs/>
          <w:sz w:val="24"/>
          <w:szCs w:val="24"/>
        </w:rPr>
        <w:t>motion de censure</w:t>
      </w:r>
      <w:r w:rsidRPr="00AC6712">
        <w:rPr>
          <w:rFonts w:ascii="Times New Roman" w:hAnsi="Times New Roman" w:cs="Times New Roman"/>
          <w:sz w:val="24"/>
          <w:szCs w:val="24"/>
        </w:rPr>
        <w:t xml:space="preserve"> peut être déposée</w:t>
      </w:r>
      <w:r w:rsidR="00F43F0A" w:rsidRPr="00F43F0A">
        <w:t xml:space="preserve"> </w:t>
      </w:r>
      <w:r w:rsidR="00F43F0A">
        <w:t>(</w:t>
      </w:r>
      <w:r w:rsidR="00F43F0A" w:rsidRPr="00F43F0A">
        <w:rPr>
          <w:rFonts w:ascii="Times New Roman" w:hAnsi="Times New Roman" w:cs="Times New Roman"/>
          <w:sz w:val="24"/>
          <w:szCs w:val="24"/>
        </w:rPr>
        <w:t>celle-ci doit être signée par un dixième au moins des membres de l’Assemblée</w:t>
      </w:r>
      <w:r w:rsidR="00F43F0A">
        <w:rPr>
          <w:rFonts w:ascii="Times New Roman" w:hAnsi="Times New Roman" w:cs="Times New Roman"/>
          <w:sz w:val="24"/>
          <w:szCs w:val="24"/>
        </w:rPr>
        <w:t xml:space="preserve">, </w:t>
      </w:r>
      <w:r w:rsidR="00F43F0A" w:rsidRPr="00F43F0A">
        <w:rPr>
          <w:rFonts w:ascii="Times New Roman" w:hAnsi="Times New Roman" w:cs="Times New Roman"/>
          <w:sz w:val="24"/>
          <w:szCs w:val="24"/>
        </w:rPr>
        <w:t>soit 58 députés</w:t>
      </w:r>
      <w:r w:rsidR="00F43F0A">
        <w:rPr>
          <w:rFonts w:ascii="Times New Roman" w:hAnsi="Times New Roman" w:cs="Times New Roman"/>
          <w:sz w:val="24"/>
          <w:szCs w:val="24"/>
        </w:rPr>
        <w:t>)</w:t>
      </w:r>
      <w:r w:rsidRPr="00AC6712">
        <w:rPr>
          <w:rFonts w:ascii="Times New Roman" w:hAnsi="Times New Roman" w:cs="Times New Roman"/>
          <w:sz w:val="24"/>
          <w:szCs w:val="24"/>
        </w:rPr>
        <w:t xml:space="preserve">. </w:t>
      </w:r>
      <w:r w:rsidR="00AC6712">
        <w:rPr>
          <w:rFonts w:ascii="Times New Roman" w:hAnsi="Times New Roman" w:cs="Times New Roman"/>
          <w:sz w:val="24"/>
          <w:szCs w:val="24"/>
        </w:rPr>
        <w:t>Celle-ci</w:t>
      </w:r>
      <w:r w:rsidRPr="00AC6712">
        <w:rPr>
          <w:rFonts w:ascii="Times New Roman" w:hAnsi="Times New Roman" w:cs="Times New Roman"/>
          <w:sz w:val="24"/>
          <w:szCs w:val="24"/>
        </w:rPr>
        <w:t xml:space="preserve"> doit être votée selon des conditions très précises : seuls sont recensés les votes favorables à la motion de censure qui ne peut être adoptée qu’à la majorité des membres composant l’Assemblée</w:t>
      </w:r>
      <w:r w:rsidR="00F43F0A">
        <w:rPr>
          <w:rFonts w:ascii="Times New Roman" w:hAnsi="Times New Roman" w:cs="Times New Roman"/>
          <w:sz w:val="24"/>
          <w:szCs w:val="24"/>
        </w:rPr>
        <w:t xml:space="preserve"> (Il faudrait donc aujourd’hui atteindre 289 voix en faveur de la motion pour qu’elle soit adoptée).</w:t>
      </w:r>
    </w:p>
    <w:p w14:paraId="4BDF50AA" w14:textId="2E961A40" w:rsidR="0064621C" w:rsidRPr="00AC6712" w:rsidRDefault="0064621C" w:rsidP="00AC6712">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Deux hypothèses sont alors possibles :</w:t>
      </w:r>
    </w:p>
    <w:p w14:paraId="51266CD0" w14:textId="38FDC4DA" w:rsidR="0064621C" w:rsidRPr="00AC6712" w:rsidRDefault="0064621C" w:rsidP="00AC6712">
      <w:pPr>
        <w:pStyle w:val="Paragraphedeliste"/>
        <w:numPr>
          <w:ilvl w:val="0"/>
          <w:numId w:val="5"/>
        </w:numPr>
        <w:spacing w:after="120"/>
        <w:ind w:right="141"/>
        <w:contextualSpacing w:val="0"/>
        <w:jc w:val="both"/>
        <w:rPr>
          <w:szCs w:val="24"/>
        </w:rPr>
      </w:pPr>
      <w:r w:rsidRPr="00AC6712">
        <w:rPr>
          <w:b/>
          <w:bCs/>
          <w:szCs w:val="24"/>
        </w:rPr>
        <w:t>si aucune motion de censure n’est déposée, le projet ou la proposition est considéré comme adopté</w:t>
      </w:r>
      <w:r w:rsidRPr="00AC6712">
        <w:rPr>
          <w:szCs w:val="24"/>
        </w:rPr>
        <w:t> ;</w:t>
      </w:r>
    </w:p>
    <w:p w14:paraId="2C7C958E" w14:textId="5E998001" w:rsidR="0064621C" w:rsidRPr="00AC6712" w:rsidRDefault="0064621C" w:rsidP="00AC6712">
      <w:pPr>
        <w:pStyle w:val="Paragraphedeliste"/>
        <w:numPr>
          <w:ilvl w:val="0"/>
          <w:numId w:val="5"/>
        </w:numPr>
        <w:spacing w:after="120"/>
        <w:ind w:right="141"/>
        <w:contextualSpacing w:val="0"/>
        <w:jc w:val="both"/>
        <w:rPr>
          <w:szCs w:val="24"/>
        </w:rPr>
      </w:pPr>
      <w:r w:rsidRPr="006B15E1">
        <w:rPr>
          <w:b/>
          <w:bCs/>
          <w:szCs w:val="24"/>
        </w:rPr>
        <w:lastRenderedPageBreak/>
        <w:t xml:space="preserve">si une motion de censure est déposée, </w:t>
      </w:r>
      <w:r w:rsidR="006B15E1" w:rsidRPr="006B15E1">
        <w:rPr>
          <w:b/>
          <w:bCs/>
          <w:szCs w:val="24"/>
        </w:rPr>
        <w:t>puis</w:t>
      </w:r>
      <w:r w:rsidRPr="006B15E1">
        <w:rPr>
          <w:b/>
          <w:bCs/>
          <w:szCs w:val="24"/>
        </w:rPr>
        <w:t xml:space="preserve"> rejet</w:t>
      </w:r>
      <w:r w:rsidR="006B15E1">
        <w:rPr>
          <w:b/>
          <w:bCs/>
          <w:szCs w:val="24"/>
        </w:rPr>
        <w:t>ée par l’AN</w:t>
      </w:r>
      <w:r w:rsidRPr="006B15E1">
        <w:rPr>
          <w:b/>
          <w:bCs/>
          <w:szCs w:val="24"/>
        </w:rPr>
        <w:t>, le projet ou la proposition est considéré comme adopté</w:t>
      </w:r>
      <w:r w:rsidRPr="00AC6712">
        <w:rPr>
          <w:szCs w:val="24"/>
        </w:rPr>
        <w:t>. Dans l’hypothèse inverse</w:t>
      </w:r>
      <w:r w:rsidR="00F43F0A">
        <w:rPr>
          <w:szCs w:val="24"/>
        </w:rPr>
        <w:t xml:space="preserve"> (si la motion est adoptée)</w:t>
      </w:r>
      <w:r w:rsidRPr="00AC6712">
        <w:rPr>
          <w:szCs w:val="24"/>
        </w:rPr>
        <w:t>, le texte est rejeté et le Gouvernement est renversé.</w:t>
      </w:r>
    </w:p>
    <w:p w14:paraId="77C75BC9" w14:textId="2EFD1AEB" w:rsidR="00710FA9" w:rsidRPr="00AC6712" w:rsidRDefault="00710FA9" w:rsidP="00AC6712">
      <w:pPr>
        <w:spacing w:after="120" w:line="240" w:lineRule="auto"/>
        <w:jc w:val="right"/>
        <w:rPr>
          <w:rFonts w:ascii="Times New Roman" w:hAnsi="Times New Roman" w:cs="Times New Roman"/>
          <w:b/>
          <w:bCs/>
          <w:sz w:val="24"/>
          <w:szCs w:val="24"/>
        </w:rPr>
      </w:pPr>
    </w:p>
    <w:p w14:paraId="3EFE6311" w14:textId="7F29482F" w:rsidR="0064621C" w:rsidRPr="00AC6712" w:rsidRDefault="0064621C" w:rsidP="00F43F0A">
      <w:pPr>
        <w:pStyle w:val="Paragraphedeliste"/>
        <w:numPr>
          <w:ilvl w:val="0"/>
          <w:numId w:val="6"/>
        </w:numPr>
        <w:pBdr>
          <w:bottom w:val="single" w:sz="4" w:space="1" w:color="auto"/>
        </w:pBdr>
        <w:spacing w:after="120"/>
        <w:ind w:right="141"/>
        <w:contextualSpacing w:val="0"/>
        <w:jc w:val="both"/>
        <w:rPr>
          <w:b/>
          <w:bCs/>
          <w:szCs w:val="24"/>
        </w:rPr>
      </w:pPr>
      <w:r w:rsidRPr="00AC6712">
        <w:rPr>
          <w:b/>
          <w:bCs/>
          <w:szCs w:val="24"/>
        </w:rPr>
        <w:t>La suite de la navette parlementaire après l’adoption d’un texte par l’usage de l’article 49 al. 3</w:t>
      </w:r>
    </w:p>
    <w:p w14:paraId="03A5A91F" w14:textId="2F724C84" w:rsidR="00AC6712" w:rsidRPr="00AC6712" w:rsidRDefault="00AC6712" w:rsidP="006B15E1">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Lorsqu’un texte est adopté par l’AN après l’usage de l’article 49 al. 3 par le Gouvernement</w:t>
      </w:r>
      <w:r w:rsidR="006B15E1">
        <w:rPr>
          <w:rFonts w:ascii="Times New Roman" w:hAnsi="Times New Roman" w:cs="Times New Roman"/>
          <w:sz w:val="24"/>
          <w:szCs w:val="24"/>
        </w:rPr>
        <w:t>,</w:t>
      </w:r>
      <w:r w:rsidRPr="00AC6712">
        <w:rPr>
          <w:rFonts w:ascii="Times New Roman" w:hAnsi="Times New Roman" w:cs="Times New Roman"/>
          <w:sz w:val="24"/>
          <w:szCs w:val="24"/>
        </w:rPr>
        <w:t xml:space="preserve"> la </w:t>
      </w:r>
      <w:r w:rsidRPr="006B15E1">
        <w:rPr>
          <w:rFonts w:ascii="Times New Roman" w:hAnsi="Times New Roman" w:cs="Times New Roman"/>
          <w:b/>
          <w:bCs/>
          <w:sz w:val="24"/>
          <w:szCs w:val="24"/>
        </w:rPr>
        <w:t>suite de la navette parlementaire se poursuit normalement.</w:t>
      </w:r>
      <w:r w:rsidRPr="00AC6712">
        <w:rPr>
          <w:rFonts w:ascii="Times New Roman" w:hAnsi="Times New Roman" w:cs="Times New Roman"/>
          <w:sz w:val="24"/>
          <w:szCs w:val="24"/>
        </w:rPr>
        <w:t xml:space="preserve"> </w:t>
      </w:r>
    </w:p>
    <w:p w14:paraId="1AFFCB00" w14:textId="14822683" w:rsidR="006B15E1" w:rsidRDefault="00AC6712" w:rsidP="006B15E1">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Il est probable que le Gouvernement y ait à nouveau recours pour les étapes suivantes de la navette à l’AN. Cela sera le cas</w:t>
      </w:r>
      <w:r w:rsidR="006B15E1">
        <w:rPr>
          <w:rFonts w:ascii="Times New Roman" w:hAnsi="Times New Roman" w:cs="Times New Roman"/>
          <w:sz w:val="24"/>
          <w:szCs w:val="24"/>
        </w:rPr>
        <w:t>,</w:t>
      </w:r>
      <w:r w:rsidRPr="00AC6712">
        <w:rPr>
          <w:rFonts w:ascii="Times New Roman" w:hAnsi="Times New Roman" w:cs="Times New Roman"/>
          <w:sz w:val="24"/>
          <w:szCs w:val="24"/>
        </w:rPr>
        <w:t xml:space="preserve"> par exemple</w:t>
      </w:r>
      <w:r w:rsidR="006B15E1">
        <w:rPr>
          <w:rFonts w:ascii="Times New Roman" w:hAnsi="Times New Roman" w:cs="Times New Roman"/>
          <w:sz w:val="24"/>
          <w:szCs w:val="24"/>
        </w:rPr>
        <w:t>,</w:t>
      </w:r>
      <w:r w:rsidRPr="00AC6712">
        <w:rPr>
          <w:rFonts w:ascii="Times New Roman" w:hAnsi="Times New Roman" w:cs="Times New Roman"/>
          <w:sz w:val="24"/>
          <w:szCs w:val="24"/>
        </w:rPr>
        <w:t xml:space="preserve"> pour l’adoption des conclusions d’une commission mixte paritaire</w:t>
      </w:r>
      <w:r w:rsidR="0027068D">
        <w:rPr>
          <w:rFonts w:ascii="Times New Roman" w:hAnsi="Times New Roman" w:cs="Times New Roman"/>
          <w:sz w:val="24"/>
          <w:szCs w:val="24"/>
        </w:rPr>
        <w:t xml:space="preserve"> (CMP)</w:t>
      </w:r>
      <w:r w:rsidRPr="00AC6712">
        <w:rPr>
          <w:rFonts w:ascii="Times New Roman" w:hAnsi="Times New Roman" w:cs="Times New Roman"/>
          <w:sz w:val="24"/>
          <w:szCs w:val="24"/>
        </w:rPr>
        <w:t xml:space="preserve"> ou, en cas d’échec de </w:t>
      </w:r>
      <w:r w:rsidR="0027068D">
        <w:rPr>
          <w:rFonts w:ascii="Times New Roman" w:hAnsi="Times New Roman" w:cs="Times New Roman"/>
          <w:sz w:val="24"/>
          <w:szCs w:val="24"/>
        </w:rPr>
        <w:t xml:space="preserve">la </w:t>
      </w:r>
      <w:r w:rsidRPr="00AC6712">
        <w:rPr>
          <w:rFonts w:ascii="Times New Roman" w:hAnsi="Times New Roman" w:cs="Times New Roman"/>
          <w:sz w:val="24"/>
          <w:szCs w:val="24"/>
        </w:rPr>
        <w:t>CMP, lors d’examen en nouvelle lecture et pour la lecture définitive (« dernier mot</w:t>
      </w:r>
      <w:r w:rsidR="0027068D">
        <w:rPr>
          <w:rFonts w:ascii="Times New Roman" w:hAnsi="Times New Roman" w:cs="Times New Roman"/>
          <w:sz w:val="24"/>
          <w:szCs w:val="24"/>
        </w:rPr>
        <w:t xml:space="preserve"> à l’AN</w:t>
      </w:r>
      <w:r w:rsidRPr="00AC6712">
        <w:rPr>
          <w:rFonts w:ascii="Times New Roman" w:hAnsi="Times New Roman" w:cs="Times New Roman"/>
          <w:sz w:val="24"/>
          <w:szCs w:val="24"/>
        </w:rPr>
        <w:t xml:space="preserve"> »). </w:t>
      </w:r>
    </w:p>
    <w:p w14:paraId="700DEAF6" w14:textId="600C1D12" w:rsidR="00AC6712" w:rsidRPr="00AC6712" w:rsidRDefault="00AC6712" w:rsidP="006B15E1">
      <w:pPr>
        <w:spacing w:after="120" w:line="240" w:lineRule="auto"/>
        <w:ind w:right="141"/>
        <w:jc w:val="both"/>
        <w:rPr>
          <w:rFonts w:ascii="Times New Roman" w:hAnsi="Times New Roman" w:cs="Times New Roman"/>
          <w:sz w:val="24"/>
          <w:szCs w:val="24"/>
        </w:rPr>
      </w:pPr>
      <w:r w:rsidRPr="00AC6712">
        <w:rPr>
          <w:rFonts w:ascii="Times New Roman" w:hAnsi="Times New Roman" w:cs="Times New Roman"/>
          <w:sz w:val="24"/>
          <w:szCs w:val="24"/>
        </w:rPr>
        <w:t xml:space="preserve">Pour décompter le nombre de fois où le </w:t>
      </w:r>
      <w:r w:rsidR="006B15E1">
        <w:rPr>
          <w:rFonts w:ascii="Times New Roman" w:hAnsi="Times New Roman" w:cs="Times New Roman"/>
          <w:sz w:val="24"/>
          <w:szCs w:val="24"/>
        </w:rPr>
        <w:t>G</w:t>
      </w:r>
      <w:r w:rsidRPr="00AC6712">
        <w:rPr>
          <w:rFonts w:ascii="Times New Roman" w:hAnsi="Times New Roman" w:cs="Times New Roman"/>
          <w:sz w:val="24"/>
          <w:szCs w:val="24"/>
        </w:rPr>
        <w:t>ouvernement a recours à l’article 49 al.3</w:t>
      </w:r>
      <w:r w:rsidR="006B15E1">
        <w:rPr>
          <w:rFonts w:ascii="Times New Roman" w:hAnsi="Times New Roman" w:cs="Times New Roman"/>
          <w:sz w:val="24"/>
          <w:szCs w:val="24"/>
        </w:rPr>
        <w:t xml:space="preserve"> (voir ci-dessus : PLF + PLFSS + 1 texte par session)</w:t>
      </w:r>
      <w:r w:rsidRPr="00AC6712">
        <w:rPr>
          <w:rFonts w:ascii="Times New Roman" w:hAnsi="Times New Roman" w:cs="Times New Roman"/>
          <w:sz w:val="24"/>
          <w:szCs w:val="24"/>
        </w:rPr>
        <w:t>, on compte « par texte », autrement dit</w:t>
      </w:r>
      <w:r w:rsidR="0027068D">
        <w:rPr>
          <w:rFonts w:ascii="Times New Roman" w:hAnsi="Times New Roman" w:cs="Times New Roman"/>
          <w:sz w:val="24"/>
          <w:szCs w:val="24"/>
        </w:rPr>
        <w:t>,</w:t>
      </w:r>
      <w:r w:rsidRPr="00AC6712">
        <w:rPr>
          <w:rFonts w:ascii="Times New Roman" w:hAnsi="Times New Roman" w:cs="Times New Roman"/>
          <w:sz w:val="24"/>
          <w:szCs w:val="24"/>
        </w:rPr>
        <w:t xml:space="preserve"> pour un PJL donné, le </w:t>
      </w:r>
      <w:r w:rsidR="006B15E1" w:rsidRPr="00AC6712">
        <w:rPr>
          <w:rFonts w:ascii="Times New Roman" w:hAnsi="Times New Roman" w:cs="Times New Roman"/>
          <w:sz w:val="24"/>
          <w:szCs w:val="24"/>
        </w:rPr>
        <w:t>Gouvernement</w:t>
      </w:r>
      <w:r w:rsidRPr="00AC6712">
        <w:rPr>
          <w:rFonts w:ascii="Times New Roman" w:hAnsi="Times New Roman" w:cs="Times New Roman"/>
          <w:sz w:val="24"/>
          <w:szCs w:val="24"/>
        </w:rPr>
        <w:t xml:space="preserve"> peut y avoir recours autant qu’il le souhaite.</w:t>
      </w:r>
    </w:p>
    <w:p w14:paraId="36B7FA0E" w14:textId="0555CC81" w:rsidR="0064621C" w:rsidRPr="006B15E1" w:rsidRDefault="0064621C" w:rsidP="006B15E1">
      <w:pPr>
        <w:spacing w:after="120" w:line="240" w:lineRule="auto"/>
        <w:ind w:right="141"/>
        <w:jc w:val="both"/>
        <w:rPr>
          <w:rFonts w:ascii="Times New Roman" w:hAnsi="Times New Roman" w:cs="Times New Roman"/>
          <w:sz w:val="24"/>
          <w:szCs w:val="24"/>
        </w:rPr>
      </w:pPr>
    </w:p>
    <w:p w14:paraId="06491027" w14:textId="3BFD4C36" w:rsidR="0064621C" w:rsidRPr="006B15E1" w:rsidRDefault="0064621C" w:rsidP="006B15E1">
      <w:pPr>
        <w:spacing w:after="120" w:line="240" w:lineRule="auto"/>
        <w:ind w:right="141"/>
        <w:jc w:val="both"/>
        <w:rPr>
          <w:rFonts w:ascii="Times New Roman" w:hAnsi="Times New Roman" w:cs="Times New Roman"/>
          <w:sz w:val="24"/>
          <w:szCs w:val="24"/>
        </w:rPr>
      </w:pPr>
    </w:p>
    <w:p w14:paraId="4D91A363" w14:textId="6735DC16" w:rsidR="0064621C" w:rsidRDefault="0064621C" w:rsidP="00710FA9">
      <w:pPr>
        <w:spacing w:after="0" w:line="240" w:lineRule="auto"/>
        <w:jc w:val="right"/>
        <w:rPr>
          <w:rFonts w:ascii="Times New Roman" w:hAnsi="Times New Roman" w:cs="Times New Roman"/>
          <w:b/>
          <w:bCs/>
          <w:sz w:val="24"/>
          <w:szCs w:val="24"/>
        </w:rPr>
      </w:pPr>
    </w:p>
    <w:p w14:paraId="18493101" w14:textId="4AE9B440" w:rsidR="0064621C" w:rsidRDefault="0064621C" w:rsidP="00710FA9">
      <w:pPr>
        <w:spacing w:after="0" w:line="240" w:lineRule="auto"/>
        <w:jc w:val="right"/>
        <w:rPr>
          <w:rFonts w:ascii="Times New Roman" w:hAnsi="Times New Roman" w:cs="Times New Roman"/>
          <w:b/>
          <w:bCs/>
          <w:sz w:val="24"/>
          <w:szCs w:val="24"/>
        </w:rPr>
      </w:pPr>
    </w:p>
    <w:p w14:paraId="02B4E0A2" w14:textId="701A511C" w:rsidR="0064621C" w:rsidRDefault="0064621C" w:rsidP="00710FA9">
      <w:pPr>
        <w:spacing w:after="0" w:line="240" w:lineRule="auto"/>
        <w:jc w:val="right"/>
        <w:rPr>
          <w:rFonts w:ascii="Times New Roman" w:hAnsi="Times New Roman" w:cs="Times New Roman"/>
          <w:b/>
          <w:bCs/>
          <w:sz w:val="24"/>
          <w:szCs w:val="24"/>
        </w:rPr>
      </w:pPr>
    </w:p>
    <w:p w14:paraId="3CA68A19" w14:textId="77777777" w:rsidR="0064621C" w:rsidRPr="00710FA9" w:rsidRDefault="0064621C" w:rsidP="00710FA9">
      <w:pPr>
        <w:spacing w:after="0" w:line="240" w:lineRule="auto"/>
        <w:jc w:val="right"/>
        <w:rPr>
          <w:rFonts w:ascii="Times New Roman" w:hAnsi="Times New Roman" w:cs="Times New Roman"/>
          <w:sz w:val="24"/>
          <w:szCs w:val="24"/>
        </w:rPr>
      </w:pPr>
    </w:p>
    <w:p w14:paraId="36191BF1" w14:textId="77777777" w:rsidR="00710FA9" w:rsidRPr="00710FA9" w:rsidRDefault="00710FA9" w:rsidP="00710FA9">
      <w:pPr>
        <w:tabs>
          <w:tab w:val="left" w:pos="3795"/>
        </w:tabs>
        <w:spacing w:after="0" w:line="240" w:lineRule="auto"/>
        <w:jc w:val="right"/>
        <w:rPr>
          <w:rFonts w:ascii="Times New Roman" w:hAnsi="Times New Roman" w:cs="Times New Roman"/>
          <w:i/>
          <w:sz w:val="24"/>
          <w:szCs w:val="24"/>
        </w:rPr>
      </w:pPr>
      <w:r w:rsidRPr="00710FA9">
        <w:rPr>
          <w:rFonts w:ascii="Times New Roman" w:hAnsi="Times New Roman" w:cs="Times New Roman"/>
          <w:i/>
          <w:sz w:val="24"/>
          <w:szCs w:val="24"/>
        </w:rPr>
        <w:t>Frédéric TURION</w:t>
      </w:r>
    </w:p>
    <w:p w14:paraId="7C51B202" w14:textId="77777777" w:rsidR="00710FA9" w:rsidRPr="00710FA9" w:rsidRDefault="00710FA9" w:rsidP="00710FA9">
      <w:pPr>
        <w:tabs>
          <w:tab w:val="left" w:pos="3795"/>
        </w:tabs>
        <w:spacing w:after="0" w:line="240" w:lineRule="auto"/>
        <w:jc w:val="right"/>
        <w:rPr>
          <w:rFonts w:ascii="Times New Roman" w:hAnsi="Times New Roman" w:cs="Times New Roman"/>
          <w:i/>
          <w:sz w:val="24"/>
          <w:szCs w:val="24"/>
        </w:rPr>
      </w:pPr>
      <w:r w:rsidRPr="00710FA9">
        <w:rPr>
          <w:rFonts w:ascii="Times New Roman" w:hAnsi="Times New Roman" w:cs="Times New Roman"/>
          <w:i/>
          <w:sz w:val="24"/>
          <w:szCs w:val="24"/>
        </w:rPr>
        <w:t>01 42 34 30 59 - 06 79 87 73 32</w:t>
      </w:r>
    </w:p>
    <w:p w14:paraId="6526DF2D" w14:textId="4D4702A4" w:rsidR="00E325A0" w:rsidRPr="00280B23" w:rsidRDefault="00710FA9" w:rsidP="00280B23">
      <w:pPr>
        <w:tabs>
          <w:tab w:val="left" w:pos="3795"/>
        </w:tabs>
        <w:spacing w:after="0" w:line="240" w:lineRule="auto"/>
        <w:jc w:val="right"/>
        <w:rPr>
          <w:rFonts w:ascii="Times New Roman" w:hAnsi="Times New Roman" w:cs="Times New Roman"/>
          <w:i/>
          <w:sz w:val="24"/>
          <w:szCs w:val="24"/>
        </w:rPr>
      </w:pPr>
      <w:r w:rsidRPr="00710FA9">
        <w:rPr>
          <w:rFonts w:ascii="Times New Roman" w:hAnsi="Times New Roman" w:cs="Times New Roman"/>
          <w:i/>
          <w:sz w:val="24"/>
          <w:szCs w:val="24"/>
        </w:rPr>
        <w:t>f.turion@uc.senat.f</w:t>
      </w:r>
      <w:r w:rsidR="006B15E1">
        <w:rPr>
          <w:rFonts w:ascii="Times New Roman" w:hAnsi="Times New Roman" w:cs="Times New Roman"/>
          <w:i/>
          <w:sz w:val="24"/>
          <w:szCs w:val="24"/>
        </w:rPr>
        <w:t>r</w:t>
      </w:r>
    </w:p>
    <w:sectPr w:rsidR="00E325A0" w:rsidRPr="00280B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409D" w14:textId="77777777" w:rsidR="0064621C" w:rsidRDefault="0064621C" w:rsidP="00710FA9">
      <w:pPr>
        <w:spacing w:after="0" w:line="240" w:lineRule="auto"/>
      </w:pPr>
      <w:r>
        <w:separator/>
      </w:r>
    </w:p>
  </w:endnote>
  <w:endnote w:type="continuationSeparator" w:id="0">
    <w:p w14:paraId="4B09CFC7" w14:textId="77777777" w:rsidR="0064621C" w:rsidRDefault="0064621C" w:rsidP="0071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81C1" w14:textId="77777777" w:rsidR="0064621C" w:rsidRDefault="0064621C" w:rsidP="00710FA9">
      <w:pPr>
        <w:spacing w:after="0" w:line="240" w:lineRule="auto"/>
      </w:pPr>
      <w:r>
        <w:separator/>
      </w:r>
    </w:p>
  </w:footnote>
  <w:footnote w:type="continuationSeparator" w:id="0">
    <w:p w14:paraId="4A2A2CBD" w14:textId="77777777" w:rsidR="0064621C" w:rsidRDefault="0064621C" w:rsidP="0071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3B4"/>
    <w:multiLevelType w:val="hybridMultilevel"/>
    <w:tmpl w:val="091A70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B2177"/>
    <w:multiLevelType w:val="hybridMultilevel"/>
    <w:tmpl w:val="AF28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B273A"/>
    <w:multiLevelType w:val="hybridMultilevel"/>
    <w:tmpl w:val="3A542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FA3025"/>
    <w:multiLevelType w:val="hybridMultilevel"/>
    <w:tmpl w:val="62441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5E309F"/>
    <w:multiLevelType w:val="hybridMultilevel"/>
    <w:tmpl w:val="47108A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E656A5"/>
    <w:multiLevelType w:val="multilevel"/>
    <w:tmpl w:val="8EA02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0682929">
    <w:abstractNumId w:val="5"/>
  </w:num>
  <w:num w:numId="2" w16cid:durableId="1651910570">
    <w:abstractNumId w:val="0"/>
  </w:num>
  <w:num w:numId="3" w16cid:durableId="705838017">
    <w:abstractNumId w:val="4"/>
  </w:num>
  <w:num w:numId="4" w16cid:durableId="718554172">
    <w:abstractNumId w:val="1"/>
  </w:num>
  <w:num w:numId="5" w16cid:durableId="1400011484">
    <w:abstractNumId w:val="3"/>
  </w:num>
  <w:num w:numId="6" w16cid:durableId="1365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C"/>
    <w:rsid w:val="000C5C7A"/>
    <w:rsid w:val="001023CF"/>
    <w:rsid w:val="0010293A"/>
    <w:rsid w:val="0027068D"/>
    <w:rsid w:val="00280B23"/>
    <w:rsid w:val="00335793"/>
    <w:rsid w:val="0064621C"/>
    <w:rsid w:val="006B15E1"/>
    <w:rsid w:val="006F368C"/>
    <w:rsid w:val="00710FA9"/>
    <w:rsid w:val="00803351"/>
    <w:rsid w:val="00830D65"/>
    <w:rsid w:val="008878B0"/>
    <w:rsid w:val="0099088F"/>
    <w:rsid w:val="00993BF2"/>
    <w:rsid w:val="00AC6712"/>
    <w:rsid w:val="00B51E1F"/>
    <w:rsid w:val="00BA4625"/>
    <w:rsid w:val="00C01963"/>
    <w:rsid w:val="00D1402F"/>
    <w:rsid w:val="00E06321"/>
    <w:rsid w:val="00E325A0"/>
    <w:rsid w:val="00E7325E"/>
    <w:rsid w:val="00ED35FC"/>
    <w:rsid w:val="00F3214B"/>
    <w:rsid w:val="00F43F0A"/>
    <w:rsid w:val="00F92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51DF"/>
  <w15:chartTrackingRefBased/>
  <w15:docId w15:val="{1778309D-0581-4206-B949-0A0133E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1E1F"/>
    <w:rPr>
      <w:color w:val="0563C1" w:themeColor="hyperlink"/>
      <w:u w:val="single"/>
    </w:rPr>
  </w:style>
  <w:style w:type="character" w:styleId="Mentionnonrsolue">
    <w:name w:val="Unresolved Mention"/>
    <w:basedOn w:val="Policepardfaut"/>
    <w:uiPriority w:val="99"/>
    <w:semiHidden/>
    <w:unhideWhenUsed/>
    <w:rsid w:val="00B51E1F"/>
    <w:rPr>
      <w:color w:val="605E5C"/>
      <w:shd w:val="clear" w:color="auto" w:fill="E1DFDD"/>
    </w:rPr>
  </w:style>
  <w:style w:type="paragraph" w:styleId="NormalWeb">
    <w:name w:val="Normal (Web)"/>
    <w:basedOn w:val="Normal"/>
    <w:uiPriority w:val="99"/>
    <w:rsid w:val="00710FA9"/>
    <w:pPr>
      <w:spacing w:before="100" w:beforeAutospacing="1" w:after="100" w:afterAutospacing="1" w:line="240" w:lineRule="auto"/>
      <w:ind w:left="1701"/>
      <w:jc w:val="both"/>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10F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0F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10FA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10FA9"/>
    <w:rPr>
      <w:vertAlign w:val="superscript"/>
    </w:rPr>
  </w:style>
  <w:style w:type="paragraph" w:styleId="Paragraphedeliste">
    <w:name w:val="List Paragraph"/>
    <w:basedOn w:val="Normal"/>
    <w:uiPriority w:val="34"/>
    <w:qFormat/>
    <w:rsid w:val="00710FA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9908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artage\Mod&#232;les%20NOTES%20(pictos)\NOTE%20U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 UC</Template>
  <TotalTime>955</TotalTime>
  <Pages>2</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TURION</dc:creator>
  <cp:keywords/>
  <dc:description/>
  <cp:lastModifiedBy>Frédéric TURION</cp:lastModifiedBy>
  <cp:revision>4</cp:revision>
  <cp:lastPrinted>2022-10-24T16:16:00Z</cp:lastPrinted>
  <dcterms:created xsi:type="dcterms:W3CDTF">2022-10-24T15:51:00Z</dcterms:created>
  <dcterms:modified xsi:type="dcterms:W3CDTF">2022-10-25T07:59:00Z</dcterms:modified>
</cp:coreProperties>
</file>